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50" w:type="dxa"/>
        <w:jc w:val="center"/>
        <w:tblCellSpacing w:w="0" w:type="dxa"/>
        <w:tblLook w:val="04A0" w:firstRow="1" w:lastRow="0" w:firstColumn="1" w:lastColumn="0" w:noHBand="0" w:noVBand="1"/>
      </w:tblPr>
      <w:tblGrid>
        <w:gridCol w:w="11310"/>
      </w:tblGrid>
      <w:tr w:rsidR="00901440" w:rsidTr="00901440">
        <w:trPr>
          <w:tblCellSpacing w:w="0" w:type="dxa"/>
          <w:jc w:val="center"/>
        </w:trPr>
        <w:tc>
          <w:tcPr>
            <w:tcW w:w="5000" w:type="pct"/>
            <w:shd w:val="clear" w:color="auto" w:fill="BFBFBF"/>
            <w:tcMar>
              <w:top w:w="15" w:type="dxa"/>
              <w:left w:w="15" w:type="dxa"/>
              <w:bottom w:w="15" w:type="dxa"/>
              <w:right w:w="15" w:type="dxa"/>
            </w:tcMar>
            <w:vAlign w:val="center"/>
            <w:hideMark/>
          </w:tcPr>
          <w:p w:rsidR="00901440" w:rsidRDefault="00901440">
            <w:pPr>
              <w:pStyle w:val="StandardWeb"/>
              <w:shd w:val="clear" w:color="auto" w:fill="BFBFBF"/>
              <w:jc w:val="center"/>
            </w:pPr>
            <w:r>
              <w:rPr>
                <w:b/>
                <w:bCs/>
                <w:noProof/>
                <w:color w:val="3366FF"/>
                <w:sz w:val="36"/>
                <w:szCs w:val="36"/>
              </w:rPr>
              <w:drawing>
                <wp:inline distT="0" distB="0" distL="0" distR="0">
                  <wp:extent cx="7153275" cy="2400300"/>
                  <wp:effectExtent l="0" t="0" r="9525" b="0"/>
                  <wp:docPr id="4" name="Grafik 4" descr="https://www2.newsletterdaten.de/745110/Foto_Ha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2.newsletterdaten.de/745110/Foto_Hafe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53275" cy="2400300"/>
                          </a:xfrm>
                          <a:prstGeom prst="rect">
                            <a:avLst/>
                          </a:prstGeom>
                          <a:noFill/>
                          <a:ln>
                            <a:noFill/>
                          </a:ln>
                        </pic:spPr>
                      </pic:pic>
                    </a:graphicData>
                  </a:graphic>
                </wp:inline>
              </w:drawing>
            </w:r>
            <w:r>
              <w:rPr>
                <w:rStyle w:val="Fett"/>
                <w:rFonts w:ascii="Arial" w:hAnsi="Arial" w:cs="Arial"/>
                <w:color w:val="365F91"/>
                <w:sz w:val="36"/>
                <w:szCs w:val="36"/>
              </w:rPr>
              <w:t>Finanzgericht Düsseldorf</w:t>
            </w:r>
            <w:r>
              <w:rPr>
                <w:rStyle w:val="Fett"/>
                <w:color w:val="3366FF"/>
                <w:sz w:val="36"/>
                <w:szCs w:val="36"/>
              </w:rPr>
              <w:t xml:space="preserve"> </w:t>
            </w:r>
            <w:r>
              <w:rPr>
                <w:b/>
                <w:bCs/>
                <w:color w:val="365F91"/>
                <w:sz w:val="36"/>
                <w:szCs w:val="36"/>
              </w:rPr>
              <w:br/>
            </w:r>
            <w:r>
              <w:rPr>
                <w:rStyle w:val="Fett"/>
                <w:rFonts w:ascii="Arial" w:hAnsi="Arial" w:cs="Arial"/>
                <w:color w:val="365F91"/>
                <w:sz w:val="36"/>
                <w:szCs w:val="36"/>
              </w:rPr>
              <w:t>Newsletter Juli 2022</w:t>
            </w:r>
          </w:p>
        </w:tc>
      </w:tr>
      <w:tr w:rsidR="00901440" w:rsidTr="00901440">
        <w:trPr>
          <w:tblCellSpacing w:w="0" w:type="dxa"/>
          <w:jc w:val="center"/>
        </w:trPr>
        <w:tc>
          <w:tcPr>
            <w:tcW w:w="0" w:type="auto"/>
            <w:tcMar>
              <w:top w:w="15" w:type="dxa"/>
              <w:left w:w="15" w:type="dxa"/>
              <w:bottom w:w="15" w:type="dxa"/>
              <w:right w:w="15" w:type="dxa"/>
            </w:tcMar>
            <w:vAlign w:val="center"/>
          </w:tcPr>
          <w:p w:rsidR="00901440" w:rsidRPr="00901440" w:rsidRDefault="00901440">
            <w:pPr>
              <w:pStyle w:val="StandardWeb"/>
              <w:jc w:val="both"/>
              <w:rPr>
                <w:sz w:val="28"/>
                <w:szCs w:val="28"/>
              </w:rPr>
            </w:pPr>
            <w:r w:rsidRPr="00901440">
              <w:rPr>
                <w:rFonts w:ascii="Arial" w:hAnsi="Arial" w:cs="Arial"/>
                <w:sz w:val="28"/>
                <w:szCs w:val="28"/>
              </w:rPr>
              <w:t>Sehr geehrte/r</w:t>
            </w:r>
            <w:r w:rsidRPr="00901440">
              <w:rPr>
                <w:rFonts w:ascii="Arial" w:hAnsi="Arial" w:cs="Arial"/>
                <w:sz w:val="28"/>
                <w:szCs w:val="28"/>
              </w:rPr>
              <w:t>…</w:t>
            </w:r>
            <w:r w:rsidRPr="00901440">
              <w:rPr>
                <w:rFonts w:ascii="Arial" w:hAnsi="Arial" w:cs="Arial"/>
                <w:sz w:val="28"/>
                <w:szCs w:val="28"/>
              </w:rPr>
              <w:t>,</w:t>
            </w:r>
          </w:p>
          <w:p w:rsidR="00901440" w:rsidRPr="00901440" w:rsidRDefault="00901440">
            <w:pPr>
              <w:pStyle w:val="StandardWeb"/>
              <w:jc w:val="both"/>
              <w:rPr>
                <w:sz w:val="28"/>
                <w:szCs w:val="28"/>
              </w:rPr>
            </w:pPr>
            <w:r w:rsidRPr="00901440">
              <w:rPr>
                <w:rFonts w:ascii="Arial" w:hAnsi="Arial" w:cs="Arial"/>
                <w:sz w:val="28"/>
                <w:szCs w:val="28"/>
              </w:rPr>
              <w:t xml:space="preserve">der Newsletter des Finanzgerichts Düsseldorf informiert regelmäßig über ausgewählte aktuelle Entscheidungen und über interessante Entwicklungen im und um das </w:t>
            </w:r>
            <w:hyperlink r:id="rId5" w:history="1">
              <w:r w:rsidRPr="00901440">
                <w:rPr>
                  <w:rStyle w:val="Hyperlink"/>
                  <w:sz w:val="28"/>
                  <w:szCs w:val="28"/>
                </w:rPr>
                <w:t>Finanzgericht Düsseldorf</w:t>
              </w:r>
            </w:hyperlink>
            <w:r w:rsidRPr="00901440">
              <w:rPr>
                <w:rFonts w:ascii="Arial" w:hAnsi="Arial" w:cs="Arial"/>
                <w:sz w:val="28"/>
                <w:szCs w:val="28"/>
              </w:rPr>
              <w:t>.</w:t>
            </w:r>
          </w:p>
          <w:p w:rsidR="00901440" w:rsidRDefault="00901440">
            <w:pPr>
              <w:pStyle w:val="StandardWeb"/>
              <w:shd w:val="clear" w:color="auto" w:fill="BFBFBF"/>
              <w:jc w:val="center"/>
            </w:pPr>
            <w:r>
              <w:rPr>
                <w:rStyle w:val="Fett"/>
                <w:rFonts w:ascii="Arial" w:hAnsi="Arial" w:cs="Arial"/>
                <w:color w:val="365F91"/>
                <w:sz w:val="27"/>
                <w:szCs w:val="27"/>
              </w:rPr>
              <w:t>Aktuelle Entscheidungen des Finanzgerichts Düsseldorf</w:t>
            </w:r>
          </w:p>
          <w:p w:rsidR="00901440" w:rsidRPr="00901440" w:rsidRDefault="00901440">
            <w:pPr>
              <w:pStyle w:val="StandardWeb"/>
              <w:jc w:val="center"/>
              <w:rPr>
                <w:sz w:val="28"/>
                <w:szCs w:val="28"/>
              </w:rPr>
            </w:pPr>
            <w:r w:rsidRPr="00901440">
              <w:rPr>
                <w:rFonts w:ascii="Arial" w:hAnsi="Arial" w:cs="Arial"/>
                <w:b/>
                <w:bCs/>
                <w:sz w:val="28"/>
                <w:szCs w:val="28"/>
              </w:rPr>
              <w:t>Eine horizontale Verlustausgleichsbeschränkung geht auch bei Verlusten aus privaten Veräußerungsgeschäften der Anwendung des besonderen Steuersatzes gemäß § 32b EStG ("Progressionsvorbehalts") vor</w:t>
            </w:r>
          </w:p>
          <w:p w:rsidR="00901440" w:rsidRPr="00901440" w:rsidRDefault="00901440">
            <w:pPr>
              <w:pStyle w:val="StandardWeb"/>
              <w:jc w:val="both"/>
              <w:rPr>
                <w:sz w:val="28"/>
                <w:szCs w:val="28"/>
              </w:rPr>
            </w:pPr>
            <w:r w:rsidRPr="00901440">
              <w:rPr>
                <w:rFonts w:ascii="Arial" w:hAnsi="Arial" w:cs="Arial"/>
                <w:sz w:val="28"/>
                <w:szCs w:val="28"/>
              </w:rPr>
              <w:t>Unser 8. Senat hatte die Berücksichtigung negativer sonstiger Einkünfte im Rahmen des Progressionsvorbehalts zu beurteilen.</w:t>
            </w:r>
          </w:p>
          <w:p w:rsidR="00901440" w:rsidRPr="00901440" w:rsidRDefault="00901440">
            <w:pPr>
              <w:pStyle w:val="StandardWeb"/>
              <w:jc w:val="both"/>
              <w:rPr>
                <w:sz w:val="28"/>
                <w:szCs w:val="28"/>
              </w:rPr>
            </w:pPr>
            <w:r w:rsidRPr="00901440">
              <w:rPr>
                <w:rFonts w:ascii="Arial" w:hAnsi="Arial" w:cs="Arial"/>
                <w:sz w:val="28"/>
                <w:szCs w:val="28"/>
              </w:rPr>
              <w:t xml:space="preserve">Der Kläger hielt eine Beteiligung an einer in der Immobilienbranche tätigen KG in seinem Privatvermögen. Im Streitjahr veräußerte die KG eine in Österreich </w:t>
            </w:r>
            <w:proofErr w:type="spellStart"/>
            <w:r w:rsidRPr="00901440">
              <w:rPr>
                <w:rFonts w:ascii="Arial" w:hAnsi="Arial" w:cs="Arial"/>
                <w:sz w:val="28"/>
                <w:szCs w:val="28"/>
              </w:rPr>
              <w:t>belegene</w:t>
            </w:r>
            <w:proofErr w:type="spellEnd"/>
            <w:r w:rsidRPr="00901440">
              <w:rPr>
                <w:rFonts w:ascii="Arial" w:hAnsi="Arial" w:cs="Arial"/>
                <w:sz w:val="28"/>
                <w:szCs w:val="28"/>
              </w:rPr>
              <w:t xml:space="preserve"> Immobilie und erzielte daraus einen Verlust. Der auf den Kläger entfallende Verlustanteil wurde nach Mitteilung über die gesonderte und einheitliche Feststellung von Besteuerungsgrundlagen in Höhe von -20.542 € als sonstige, nach DBA steuerfreie Progressionseinkünfte festgestellt. Auf dieser Grundlage erließ der Beklagte im weiteren Verfahren in gleicher Höhe einen (Folge-)Bescheid über die gesonderte Feststellung des Verlustes aus privaten Veräußerungsgeschäften für Zwecke des Progressionsvorbehalts. </w:t>
            </w:r>
          </w:p>
          <w:p w:rsidR="00901440" w:rsidRPr="00901440" w:rsidRDefault="00901440">
            <w:pPr>
              <w:pStyle w:val="StandardWeb"/>
              <w:jc w:val="both"/>
              <w:rPr>
                <w:sz w:val="28"/>
                <w:szCs w:val="28"/>
              </w:rPr>
            </w:pPr>
            <w:r w:rsidRPr="00901440">
              <w:rPr>
                <w:rFonts w:ascii="Arial" w:hAnsi="Arial" w:cs="Arial"/>
                <w:sz w:val="28"/>
                <w:szCs w:val="28"/>
              </w:rPr>
              <w:t xml:space="preserve">Im darauffolgenden Einspruchs- und Klageverfahren begehrte der Kläger eine Berücksichtigung der negativen Progressionseinkünfte zur Ermittlung des auf das zu versteuernde Einkommen anzuwendenden Steuersatzes. Der Beklagte hingegen argumentierte, dass die gesetzlich normierte Verlustausgleichsbeschränkung bei privaten </w:t>
            </w:r>
            <w:r w:rsidRPr="00901440">
              <w:rPr>
                <w:rFonts w:ascii="Arial" w:hAnsi="Arial" w:cs="Arial"/>
                <w:sz w:val="28"/>
                <w:szCs w:val="28"/>
              </w:rPr>
              <w:lastRenderedPageBreak/>
              <w:t>Veräußerungsgeschäften auch eine Verlustberücksichtigung im Rahmen des negativen Progressionsvorbehaltes hindere.</w:t>
            </w:r>
          </w:p>
          <w:p w:rsidR="00901440" w:rsidRPr="00901440" w:rsidRDefault="00901440">
            <w:pPr>
              <w:pStyle w:val="StandardWeb"/>
              <w:jc w:val="both"/>
              <w:rPr>
                <w:sz w:val="28"/>
                <w:szCs w:val="28"/>
              </w:rPr>
            </w:pPr>
            <w:r w:rsidRPr="00901440">
              <w:rPr>
                <w:rFonts w:ascii="Arial" w:hAnsi="Arial" w:cs="Arial"/>
                <w:sz w:val="28"/>
                <w:szCs w:val="28"/>
              </w:rPr>
              <w:t>In seinem Urteil vom 14.04.2022 befand der 8. Senat, dass die Einkommensteuer im Streitjahr zu Recht ohne Anwendung des negativen Progressionsvorbehalts festgesetzt worden sei. Für nach DBA steuerfreie Einkünfte sei der Anwendungsbereich des § 32b EStG zwar dem Grunde nach eröffnet. Die Ermittlung des nach dieser Vorschrift besonderen Steuersatzes knüpfe allerdings an die im EStG normierte Einkünfteermittlung an und habe auch insoweit entsprechende Verlustausgleichsbeschränkungen zu berücksichtigen.</w:t>
            </w:r>
          </w:p>
          <w:p w:rsidR="00901440" w:rsidRPr="00901440" w:rsidRDefault="00901440">
            <w:pPr>
              <w:pStyle w:val="StandardWeb"/>
              <w:jc w:val="both"/>
              <w:rPr>
                <w:sz w:val="28"/>
                <w:szCs w:val="28"/>
              </w:rPr>
            </w:pPr>
            <w:r w:rsidRPr="00901440">
              <w:rPr>
                <w:rFonts w:ascii="Arial" w:hAnsi="Arial" w:cs="Arial"/>
                <w:sz w:val="28"/>
                <w:szCs w:val="28"/>
              </w:rPr>
              <w:t>Bereits als unzulässig beurteilte das Gericht die mit der Klage verbundene selbstständige Anfechtung des Bescheids über die gesonderte Feststellung des Verlustes aus privaten Veräußerungsgeschäften für Zwecke des Progressionsvorbehalts. Insofern fehle es an einer Klagebefugnis, denn mit der Feststellung des (der Höhe nach unstreitigen) Verlusts sei der Kläger nicht beschwert. Der Feststellungsbescheid habe insbesondere keinen nachteiligen Einfluss auf die Einkommensteuer des Streitjahres, denn die Entscheidung über die Ermittlung des anzuwendenden Steuersatzes würde im Einkommensteuerbescheid selbst und nicht im Feststellungsbescheid für Zwecke des Progressionsvorbehalts getroffen.</w:t>
            </w:r>
          </w:p>
          <w:p w:rsidR="00901440" w:rsidRPr="00901440" w:rsidRDefault="00901440">
            <w:pPr>
              <w:pStyle w:val="StandardWeb"/>
              <w:jc w:val="both"/>
              <w:rPr>
                <w:sz w:val="28"/>
                <w:szCs w:val="28"/>
              </w:rPr>
            </w:pPr>
            <w:r w:rsidRPr="00901440">
              <w:rPr>
                <w:rFonts w:ascii="Arial" w:hAnsi="Arial" w:cs="Arial"/>
                <w:sz w:val="28"/>
                <w:szCs w:val="28"/>
                <w:shd w:val="clear" w:color="auto" w:fill="FFFFFF"/>
              </w:rPr>
              <w:t xml:space="preserve">Die Entscheidung ist rechtskräftig. </w:t>
            </w:r>
            <w:r w:rsidRPr="00901440">
              <w:rPr>
                <w:rFonts w:ascii="Arial" w:hAnsi="Arial" w:cs="Arial"/>
                <w:sz w:val="28"/>
                <w:szCs w:val="28"/>
              </w:rPr>
              <w:t xml:space="preserve">Die Entscheidung im Volltext: </w:t>
            </w:r>
            <w:hyperlink r:id="rId6" w:history="1">
              <w:r w:rsidRPr="00901440">
                <w:rPr>
                  <w:rStyle w:val="Hyperlink"/>
                  <w:rFonts w:ascii="Arial" w:hAnsi="Arial" w:cs="Arial"/>
                  <w:sz w:val="28"/>
                  <w:szCs w:val="28"/>
                </w:rPr>
                <w:t>8 K 1836/18 F</w:t>
              </w:r>
            </w:hyperlink>
          </w:p>
          <w:p w:rsidR="00901440" w:rsidRDefault="00901440">
            <w:pPr>
              <w:pStyle w:val="StandardWeb"/>
              <w:jc w:val="center"/>
            </w:pPr>
          </w:p>
          <w:p w:rsidR="00901440" w:rsidRPr="00901440" w:rsidRDefault="00901440">
            <w:pPr>
              <w:pStyle w:val="StandardWeb"/>
              <w:jc w:val="center"/>
              <w:rPr>
                <w:sz w:val="28"/>
                <w:szCs w:val="28"/>
              </w:rPr>
            </w:pPr>
            <w:r w:rsidRPr="00901440">
              <w:rPr>
                <w:rFonts w:ascii="Arial" w:hAnsi="Arial" w:cs="Arial"/>
                <w:b/>
                <w:bCs/>
                <w:sz w:val="28"/>
                <w:szCs w:val="28"/>
              </w:rPr>
              <w:t xml:space="preserve">Die Auflösung einer GmbH wegen Eröffnung des Insolvenzverfahrens führt regelmäßig noch nicht zu einer Verlustrealisierung </w:t>
            </w:r>
            <w:proofErr w:type="spellStart"/>
            <w:r w:rsidRPr="00901440">
              <w:rPr>
                <w:rFonts w:ascii="Arial" w:hAnsi="Arial" w:cs="Arial"/>
                <w:b/>
                <w:bCs/>
                <w:sz w:val="28"/>
                <w:szCs w:val="28"/>
              </w:rPr>
              <w:t>i.S.d</w:t>
            </w:r>
            <w:proofErr w:type="spellEnd"/>
            <w:r w:rsidRPr="00901440">
              <w:rPr>
                <w:rFonts w:ascii="Arial" w:hAnsi="Arial" w:cs="Arial"/>
                <w:b/>
                <w:bCs/>
                <w:sz w:val="28"/>
                <w:szCs w:val="28"/>
              </w:rPr>
              <w:t>. § 17 EStG</w:t>
            </w:r>
          </w:p>
          <w:p w:rsidR="00901440" w:rsidRPr="00901440" w:rsidRDefault="00901440">
            <w:pPr>
              <w:pStyle w:val="StandardWeb"/>
              <w:jc w:val="both"/>
              <w:rPr>
                <w:sz w:val="28"/>
                <w:szCs w:val="28"/>
              </w:rPr>
            </w:pPr>
            <w:r w:rsidRPr="00901440">
              <w:rPr>
                <w:rFonts w:ascii="Arial" w:hAnsi="Arial" w:cs="Arial"/>
                <w:sz w:val="28"/>
                <w:szCs w:val="28"/>
              </w:rPr>
              <w:t>Unser 10. Senat hatte sich mit dem Zeitpunkt der Verlustrealisierung beim Anteilsverkauf auseinanderzusetzen:</w:t>
            </w:r>
          </w:p>
          <w:p w:rsidR="00901440" w:rsidRPr="00901440" w:rsidRDefault="00901440">
            <w:pPr>
              <w:pStyle w:val="StandardWeb"/>
              <w:jc w:val="both"/>
              <w:rPr>
                <w:sz w:val="28"/>
                <w:szCs w:val="28"/>
              </w:rPr>
            </w:pPr>
            <w:r w:rsidRPr="00901440">
              <w:rPr>
                <w:rFonts w:ascii="Arial" w:hAnsi="Arial" w:cs="Arial"/>
                <w:sz w:val="28"/>
                <w:szCs w:val="28"/>
              </w:rPr>
              <w:t xml:space="preserve">Die Klägerin erwarb im Frühjahr 2014 Geschäftsanteile an einer GmbH zum symbolischen Kaufpreis von 1 €. Daneben gewährte sie der GmbH ein verzinsliches Darlehen in Höhe von 320.000 €, um deren drohende Insolvenz abzuwenden. Das Darlehen war mit einer Kündigungsfrist von drei Monaten ordentlich, daneben bei einem Insolvenzeröffnungsantrag gegenüber der GmbH auch mit sofortiger Wirkung außerordentlich kündbar. Als Sicherheit übereignete die GmbH der Klägerin Fahrzeuge im Gesamtwert von (max.) 38.000 € sowie ein Ersatzteillager im Wert von 40.000 €. </w:t>
            </w:r>
          </w:p>
          <w:p w:rsidR="00901440" w:rsidRPr="00901440" w:rsidRDefault="00901440">
            <w:pPr>
              <w:pStyle w:val="StandardWeb"/>
              <w:jc w:val="both"/>
              <w:rPr>
                <w:sz w:val="28"/>
                <w:szCs w:val="28"/>
              </w:rPr>
            </w:pPr>
            <w:r w:rsidRPr="00901440">
              <w:rPr>
                <w:rFonts w:ascii="Arial" w:hAnsi="Arial" w:cs="Arial"/>
                <w:sz w:val="28"/>
                <w:szCs w:val="28"/>
              </w:rPr>
              <w:t>Im September 2014 wurde das Insolvenzverfahren über das Vermögen der GmbH eröffnet, womit die GmbH qua Gesetz aufgelöst wurde; zugleich wurde Masseunzulänglichkeit angezeigt. Aus dem Bericht des Insolvenzverwalters ging hervor, dass die Klägerin im Mai 2014 eine Rückzahlung auf das von ihr gewährte Darlehen in Höhe von 16.000 € erhalten und im Übrigen die zu ihren Gunsten besicherten Fahrzeuge teilweise veräußert habe. Schlussendlich seien noch Vermögenswerte in Höhe von 44.000 € für die Insolvenzmasse frei.</w:t>
            </w:r>
          </w:p>
          <w:p w:rsidR="00901440" w:rsidRPr="00901440" w:rsidRDefault="00901440">
            <w:pPr>
              <w:pStyle w:val="StandardWeb"/>
              <w:jc w:val="both"/>
              <w:rPr>
                <w:sz w:val="28"/>
                <w:szCs w:val="28"/>
              </w:rPr>
            </w:pPr>
            <w:r w:rsidRPr="00901440">
              <w:rPr>
                <w:rFonts w:ascii="Arial" w:hAnsi="Arial" w:cs="Arial"/>
                <w:sz w:val="28"/>
                <w:szCs w:val="28"/>
              </w:rPr>
              <w:lastRenderedPageBreak/>
              <w:t>Im Verfahren begehrte die Klägerin für den Veranlagungszeitraum 2014 die Berücksichtigung eines Verlustes aus § 17 EStG in Höhe von 320.001 €. Infolge der Insolvenzeröffnung sei mit an Sicherheit grenzender Wahrscheinlichkeit nicht mehr mit einer Rückzahlung des der GmbH gewährten Darlehens zu rechnen gewesen. Der Ausfall der Darlehensforderung sei zu diesem Zeitpunkt endgültig gewesen und habe zu nachträglichen Anschaffungskosten auf die Beteiligung geführt.</w:t>
            </w:r>
          </w:p>
          <w:p w:rsidR="00901440" w:rsidRPr="00901440" w:rsidRDefault="00901440">
            <w:pPr>
              <w:pStyle w:val="StandardWeb"/>
              <w:jc w:val="both"/>
              <w:rPr>
                <w:sz w:val="28"/>
                <w:szCs w:val="28"/>
              </w:rPr>
            </w:pPr>
            <w:r w:rsidRPr="00901440">
              <w:rPr>
                <w:rFonts w:ascii="Arial" w:hAnsi="Arial" w:cs="Arial"/>
                <w:sz w:val="28"/>
                <w:szCs w:val="28"/>
              </w:rPr>
              <w:t xml:space="preserve">Der Beklagte lehnte eine Verlustberücksichtigung im Veranlagungszeitraum 2014 ab, weil in diesem Jahr noch nicht ersichtlich gewesen sei, ob und in welcher Höhe noch nachträgliche Anschaffungskosten anfallen würden. Das von der Klägerin gewährte Darlehen hätte bereits keinen eigenkapitalersetzenden Charakter gehabt. </w:t>
            </w:r>
          </w:p>
          <w:p w:rsidR="00901440" w:rsidRPr="00901440" w:rsidRDefault="00901440">
            <w:pPr>
              <w:pStyle w:val="StandardWeb"/>
              <w:jc w:val="both"/>
              <w:rPr>
                <w:sz w:val="28"/>
                <w:szCs w:val="28"/>
              </w:rPr>
            </w:pPr>
            <w:r w:rsidRPr="00901440">
              <w:rPr>
                <w:rFonts w:ascii="Arial" w:hAnsi="Arial" w:cs="Arial"/>
                <w:sz w:val="28"/>
                <w:szCs w:val="28"/>
              </w:rPr>
              <w:t>Mit Urteil vom 12.04.2022 hat der 10. Senat die Klage abgewiesen. Im Streitjahr sei kein Auflösungsverlust zu berücksichtigen. Aus dem Bericht des Insolvenzverwalters sei ersichtlich, dass die Gesellschaft im Zeitpunkt des Auflösungsbeschlusses, also dem Zeitpunkt der Insolvenzeröffnung, nicht vermögenslos gewesen sei. Zudem habe der gemeine Wert des der Klägerin zugeteilten oder zurückgezahlten Vermögens im Streitjahr nicht festgestanden, denn aus der gebotenen ex-ante Perspektive sei nicht bekannt, ob die Rückzahlung von 16.000 € vom Insolvenzverwalter angefochten werde und ob etwaige Erlöse aus der Verwertung der besicherten Fahrzeuge der Insolvenzanfechtung unterlägen.</w:t>
            </w:r>
          </w:p>
          <w:p w:rsidR="00901440" w:rsidRPr="00901440" w:rsidRDefault="00901440">
            <w:pPr>
              <w:pStyle w:val="StandardWeb"/>
              <w:jc w:val="both"/>
              <w:rPr>
                <w:sz w:val="28"/>
                <w:szCs w:val="28"/>
              </w:rPr>
            </w:pPr>
            <w:r w:rsidRPr="00901440">
              <w:rPr>
                <w:rFonts w:ascii="Arial" w:hAnsi="Arial" w:cs="Arial"/>
                <w:sz w:val="28"/>
                <w:szCs w:val="28"/>
              </w:rPr>
              <w:t xml:space="preserve">Die Entscheidung ist rechtskräftig. Die Entscheidung im Volltext: </w:t>
            </w:r>
            <w:hyperlink r:id="rId7" w:history="1">
              <w:r w:rsidRPr="00901440">
                <w:rPr>
                  <w:rStyle w:val="Hyperlink"/>
                  <w:rFonts w:ascii="Arial" w:hAnsi="Arial" w:cs="Arial"/>
                  <w:sz w:val="28"/>
                  <w:szCs w:val="28"/>
                </w:rPr>
                <w:t>10 K 1175/19 E</w:t>
              </w:r>
            </w:hyperlink>
          </w:p>
          <w:p w:rsidR="00901440" w:rsidRPr="00901440" w:rsidRDefault="00901440">
            <w:pPr>
              <w:pStyle w:val="StandardWeb"/>
              <w:shd w:val="clear" w:color="auto" w:fill="BFBFBF"/>
              <w:jc w:val="center"/>
              <w:rPr>
                <w:sz w:val="32"/>
                <w:szCs w:val="32"/>
              </w:rPr>
            </w:pPr>
            <w:r w:rsidRPr="00901440">
              <w:rPr>
                <w:rStyle w:val="Fett"/>
                <w:rFonts w:ascii="Arial" w:hAnsi="Arial" w:cs="Arial"/>
                <w:color w:val="365F91"/>
                <w:sz w:val="32"/>
                <w:szCs w:val="32"/>
              </w:rPr>
              <w:t>Weitere Entscheidungen im Überblick</w:t>
            </w:r>
          </w:p>
          <w:p w:rsidR="00901440" w:rsidRDefault="00901440">
            <w:pPr>
              <w:pStyle w:val="berschrift3"/>
              <w:jc w:val="center"/>
              <w:rPr>
                <w:rFonts w:eastAsia="Times New Roman"/>
              </w:rPr>
            </w:pPr>
            <w:r>
              <w:rPr>
                <w:rStyle w:val="Fett"/>
                <w:rFonts w:ascii="Arial" w:eastAsia="Times New Roman" w:hAnsi="Arial" w:cs="Arial"/>
                <w:b/>
                <w:bCs/>
                <w:u w:val="single"/>
              </w:rPr>
              <w:t>Branntweinsteuer</w:t>
            </w:r>
          </w:p>
          <w:p w:rsidR="00901440" w:rsidRPr="00901440" w:rsidRDefault="00901440">
            <w:pPr>
              <w:pStyle w:val="StandardWeb"/>
              <w:jc w:val="both"/>
              <w:rPr>
                <w:sz w:val="28"/>
                <w:szCs w:val="28"/>
              </w:rPr>
            </w:pPr>
            <w:r w:rsidRPr="00901440">
              <w:rPr>
                <w:rStyle w:val="Fett"/>
                <w:rFonts w:ascii="Arial" w:hAnsi="Arial" w:cs="Arial"/>
                <w:sz w:val="28"/>
                <w:szCs w:val="28"/>
              </w:rPr>
              <w:t xml:space="preserve">Zum Ausschluss der Steuerbefreiung für die Herstellung von </w:t>
            </w:r>
            <w:proofErr w:type="spellStart"/>
            <w:r w:rsidRPr="00901440">
              <w:rPr>
                <w:rStyle w:val="Fett"/>
                <w:rFonts w:ascii="Arial" w:hAnsi="Arial" w:cs="Arial"/>
                <w:sz w:val="28"/>
                <w:szCs w:val="28"/>
              </w:rPr>
              <w:t>Luttermethanol</w:t>
            </w:r>
            <w:proofErr w:type="spellEnd"/>
            <w:r w:rsidRPr="00901440">
              <w:rPr>
                <w:rStyle w:val="Fett"/>
                <w:rFonts w:ascii="Arial" w:hAnsi="Arial" w:cs="Arial"/>
                <w:sz w:val="28"/>
                <w:szCs w:val="28"/>
              </w:rPr>
              <w:t xml:space="preserve"> (aufgrund fehlender Erlaubnis zur steuerfreien Verwendung und Vergällung mit einem gemäß § 50 Abs. 4 Satz 1 </w:t>
            </w:r>
            <w:proofErr w:type="spellStart"/>
            <w:r w:rsidRPr="00901440">
              <w:rPr>
                <w:rStyle w:val="HTMLAkronym"/>
                <w:rFonts w:ascii="Arial" w:hAnsi="Arial" w:cs="Arial"/>
                <w:b/>
                <w:bCs/>
                <w:sz w:val="28"/>
                <w:szCs w:val="28"/>
              </w:rPr>
              <w:t>BranntwMonG</w:t>
            </w:r>
            <w:proofErr w:type="spellEnd"/>
            <w:r w:rsidRPr="00901440">
              <w:rPr>
                <w:rStyle w:val="Fett"/>
                <w:rFonts w:ascii="Arial" w:hAnsi="Arial" w:cs="Arial"/>
                <w:sz w:val="28"/>
                <w:szCs w:val="28"/>
              </w:rPr>
              <w:t xml:space="preserve"> nicht zugelassenen Vergällungsmittel) und zur abweichenden Festsetzung der Steuer aus Billigkeitsgründen</w:t>
            </w:r>
          </w:p>
          <w:p w:rsidR="00901440" w:rsidRDefault="00901440">
            <w:pPr>
              <w:pStyle w:val="StandardWeb"/>
              <w:jc w:val="both"/>
              <w:rPr>
                <w:rFonts w:ascii="Arial" w:hAnsi="Arial" w:cs="Arial"/>
                <w:sz w:val="28"/>
                <w:szCs w:val="28"/>
              </w:rPr>
            </w:pPr>
            <w:r w:rsidRPr="00901440">
              <w:rPr>
                <w:rFonts w:ascii="Arial" w:hAnsi="Arial" w:cs="Arial"/>
                <w:sz w:val="28"/>
                <w:szCs w:val="28"/>
              </w:rPr>
              <w:t xml:space="preserve">Die Entscheidung im Volltext: </w:t>
            </w:r>
            <w:hyperlink r:id="rId8" w:history="1">
              <w:r w:rsidRPr="00901440">
                <w:rPr>
                  <w:rStyle w:val="Hyperlink"/>
                  <w:rFonts w:ascii="Arial" w:hAnsi="Arial" w:cs="Arial"/>
                  <w:sz w:val="28"/>
                  <w:szCs w:val="28"/>
                </w:rPr>
                <w:t xml:space="preserve">4 K 892/21 </w:t>
              </w:r>
              <w:proofErr w:type="spellStart"/>
              <w:r w:rsidRPr="00901440">
                <w:rPr>
                  <w:rStyle w:val="Hyperlink"/>
                  <w:rFonts w:ascii="Arial" w:hAnsi="Arial" w:cs="Arial"/>
                  <w:sz w:val="28"/>
                  <w:szCs w:val="28"/>
                </w:rPr>
                <w:t>VBr</w:t>
              </w:r>
              <w:proofErr w:type="spellEnd"/>
            </w:hyperlink>
          </w:p>
          <w:p w:rsidR="00901440" w:rsidRPr="00901440" w:rsidRDefault="00901440">
            <w:pPr>
              <w:pStyle w:val="StandardWeb"/>
              <w:jc w:val="both"/>
              <w:rPr>
                <w:sz w:val="28"/>
                <w:szCs w:val="28"/>
              </w:rPr>
            </w:pPr>
          </w:p>
          <w:p w:rsidR="00901440" w:rsidRPr="00901440" w:rsidRDefault="00901440">
            <w:pPr>
              <w:pStyle w:val="StandardWeb"/>
              <w:jc w:val="center"/>
              <w:rPr>
                <w:sz w:val="28"/>
                <w:szCs w:val="28"/>
              </w:rPr>
            </w:pPr>
            <w:r w:rsidRPr="00901440">
              <w:rPr>
                <w:rStyle w:val="Fett"/>
                <w:rFonts w:ascii="Arial" w:hAnsi="Arial" w:cs="Arial"/>
                <w:sz w:val="28"/>
                <w:szCs w:val="28"/>
                <w:u w:val="single"/>
              </w:rPr>
              <w:t>Energiesteuer</w:t>
            </w:r>
          </w:p>
          <w:p w:rsidR="00901440" w:rsidRPr="00901440" w:rsidRDefault="00901440">
            <w:pPr>
              <w:pStyle w:val="StandardWeb"/>
              <w:jc w:val="both"/>
              <w:rPr>
                <w:sz w:val="28"/>
                <w:szCs w:val="28"/>
              </w:rPr>
            </w:pPr>
            <w:r w:rsidRPr="00901440">
              <w:rPr>
                <w:rStyle w:val="Fett"/>
                <w:rFonts w:ascii="Arial" w:hAnsi="Arial" w:cs="Arial"/>
                <w:sz w:val="28"/>
                <w:szCs w:val="28"/>
              </w:rPr>
              <w:t>Energiesteuerentlastung für nachweislich versteuerte Energieerzeugnisse bei gleichzeitiger Verwendung von Erdgas für Heizzwecke und zur (substituierbaren) Herstellung von Inertgas innerhalb desselben Produktionsprozesses</w:t>
            </w:r>
          </w:p>
          <w:p w:rsidR="00901440" w:rsidRDefault="00901440">
            <w:pPr>
              <w:pStyle w:val="StandardWeb"/>
              <w:jc w:val="both"/>
              <w:rPr>
                <w:rFonts w:ascii="Arial" w:hAnsi="Arial" w:cs="Arial"/>
                <w:sz w:val="28"/>
                <w:szCs w:val="28"/>
              </w:rPr>
            </w:pPr>
            <w:r w:rsidRPr="00901440">
              <w:rPr>
                <w:rFonts w:ascii="Arial" w:hAnsi="Arial" w:cs="Arial"/>
                <w:sz w:val="28"/>
                <w:szCs w:val="28"/>
              </w:rPr>
              <w:t xml:space="preserve">Die Entscheidungen im Volltext: </w:t>
            </w:r>
            <w:hyperlink r:id="rId9" w:history="1">
              <w:r w:rsidRPr="00901440">
                <w:rPr>
                  <w:rStyle w:val="Hyperlink"/>
                  <w:rFonts w:ascii="Arial" w:hAnsi="Arial" w:cs="Arial"/>
                  <w:sz w:val="28"/>
                  <w:szCs w:val="28"/>
                </w:rPr>
                <w:t>4 K 2278/20 VE</w:t>
              </w:r>
            </w:hyperlink>
            <w:r w:rsidRPr="00901440">
              <w:rPr>
                <w:rFonts w:ascii="Arial" w:hAnsi="Arial" w:cs="Arial"/>
                <w:sz w:val="28"/>
                <w:szCs w:val="28"/>
              </w:rPr>
              <w:t xml:space="preserve">, </w:t>
            </w:r>
            <w:hyperlink r:id="rId10" w:history="1">
              <w:r w:rsidRPr="00901440">
                <w:rPr>
                  <w:rStyle w:val="Hyperlink"/>
                  <w:rFonts w:ascii="Arial" w:hAnsi="Arial" w:cs="Arial"/>
                  <w:sz w:val="28"/>
                  <w:szCs w:val="28"/>
                </w:rPr>
                <w:t>4 K 2280/20 VE</w:t>
              </w:r>
            </w:hyperlink>
          </w:p>
          <w:p w:rsidR="00901440" w:rsidRDefault="00901440">
            <w:pPr>
              <w:pStyle w:val="StandardWeb"/>
              <w:jc w:val="center"/>
            </w:pPr>
            <w:r>
              <w:rPr>
                <w:rStyle w:val="Fett"/>
                <w:rFonts w:ascii="Arial" w:hAnsi="Arial" w:cs="Arial"/>
                <w:sz w:val="27"/>
                <w:szCs w:val="27"/>
                <w:u w:val="single"/>
              </w:rPr>
              <w:lastRenderedPageBreak/>
              <w:t>Erbschaftsteuer</w:t>
            </w:r>
          </w:p>
          <w:p w:rsidR="00901440" w:rsidRPr="00901440" w:rsidRDefault="00901440">
            <w:pPr>
              <w:pStyle w:val="StandardWeb"/>
              <w:jc w:val="both"/>
              <w:rPr>
                <w:sz w:val="28"/>
                <w:szCs w:val="28"/>
              </w:rPr>
            </w:pPr>
            <w:r w:rsidRPr="00901440">
              <w:rPr>
                <w:rStyle w:val="Fett"/>
                <w:rFonts w:ascii="Arial" w:hAnsi="Arial" w:cs="Arial"/>
                <w:sz w:val="28"/>
                <w:szCs w:val="28"/>
              </w:rPr>
              <w:t>Zur Auslegung einer „Regelung im Gesellschaftsvertrag“ im Sinne der Ausnahmeregelung des § 10 Abs. 10 Satz 2 ErbStG</w:t>
            </w:r>
          </w:p>
          <w:p w:rsidR="00901440" w:rsidRDefault="00901440">
            <w:pPr>
              <w:pStyle w:val="StandardWeb"/>
              <w:jc w:val="both"/>
              <w:rPr>
                <w:rFonts w:ascii="Arial" w:hAnsi="Arial" w:cs="Arial"/>
                <w:sz w:val="28"/>
                <w:szCs w:val="28"/>
              </w:rPr>
            </w:pPr>
            <w:r w:rsidRPr="00901440">
              <w:rPr>
                <w:rFonts w:ascii="Arial" w:hAnsi="Arial" w:cs="Arial"/>
                <w:sz w:val="28"/>
                <w:szCs w:val="28"/>
              </w:rPr>
              <w:t xml:space="preserve">Die Entscheidung im Volltext: </w:t>
            </w:r>
            <w:hyperlink r:id="rId11" w:history="1">
              <w:r w:rsidRPr="00901440">
                <w:rPr>
                  <w:rStyle w:val="Hyperlink"/>
                  <w:rFonts w:ascii="Arial" w:hAnsi="Arial" w:cs="Arial"/>
                  <w:sz w:val="28"/>
                  <w:szCs w:val="28"/>
                </w:rPr>
                <w:t>4 K 741/20 Erb</w:t>
              </w:r>
            </w:hyperlink>
          </w:p>
          <w:p w:rsidR="00901440" w:rsidRPr="00901440" w:rsidRDefault="00901440">
            <w:pPr>
              <w:pStyle w:val="StandardWeb"/>
              <w:jc w:val="both"/>
              <w:rPr>
                <w:sz w:val="28"/>
                <w:szCs w:val="28"/>
              </w:rPr>
            </w:pPr>
          </w:p>
          <w:p w:rsidR="00901440" w:rsidRDefault="00901440">
            <w:pPr>
              <w:pStyle w:val="StandardWeb"/>
              <w:jc w:val="center"/>
            </w:pPr>
            <w:r>
              <w:rPr>
                <w:rStyle w:val="Fett"/>
                <w:rFonts w:ascii="Arial" w:hAnsi="Arial" w:cs="Arial"/>
                <w:sz w:val="27"/>
                <w:szCs w:val="27"/>
                <w:u w:val="single"/>
              </w:rPr>
              <w:t>Gewerbesteuerzerlegung</w:t>
            </w:r>
          </w:p>
          <w:p w:rsidR="00901440" w:rsidRPr="00901440" w:rsidRDefault="00901440">
            <w:pPr>
              <w:pStyle w:val="StandardWeb"/>
              <w:jc w:val="both"/>
              <w:rPr>
                <w:sz w:val="28"/>
                <w:szCs w:val="28"/>
              </w:rPr>
            </w:pPr>
            <w:r w:rsidRPr="00901440">
              <w:rPr>
                <w:rStyle w:val="Fett"/>
                <w:rFonts w:ascii="Arial" w:hAnsi="Arial" w:cs="Arial"/>
                <w:sz w:val="28"/>
                <w:szCs w:val="28"/>
                <w:shd w:val="clear" w:color="auto" w:fill="FFFFFF"/>
              </w:rPr>
              <w:t>Zum Eintritt der Festsetzungsverjährung und zur Änderbarkeit eines Zerlegungsbescheides nach den Berichtigungsvorschriften der Abgabenordnung</w:t>
            </w:r>
          </w:p>
          <w:p w:rsidR="00901440" w:rsidRDefault="00901440">
            <w:pPr>
              <w:pStyle w:val="StandardWeb"/>
              <w:jc w:val="both"/>
              <w:rPr>
                <w:rFonts w:ascii="Arial" w:hAnsi="Arial" w:cs="Arial"/>
                <w:sz w:val="28"/>
                <w:szCs w:val="28"/>
              </w:rPr>
            </w:pPr>
            <w:r w:rsidRPr="00901440">
              <w:rPr>
                <w:rFonts w:ascii="Arial" w:hAnsi="Arial" w:cs="Arial"/>
                <w:sz w:val="28"/>
                <w:szCs w:val="28"/>
              </w:rPr>
              <w:t xml:space="preserve">Die Entscheidung im Volltext: </w:t>
            </w:r>
            <w:hyperlink r:id="rId12" w:history="1">
              <w:r w:rsidRPr="00901440">
                <w:rPr>
                  <w:rStyle w:val="Hyperlink"/>
                  <w:rFonts w:ascii="Arial" w:hAnsi="Arial" w:cs="Arial"/>
                  <w:sz w:val="28"/>
                  <w:szCs w:val="28"/>
                </w:rPr>
                <w:t>2 K 3400/18 G</w:t>
              </w:r>
            </w:hyperlink>
          </w:p>
          <w:p w:rsidR="00901440" w:rsidRPr="00901440" w:rsidRDefault="00901440">
            <w:pPr>
              <w:pStyle w:val="StandardWeb"/>
              <w:jc w:val="both"/>
              <w:rPr>
                <w:sz w:val="28"/>
                <w:szCs w:val="28"/>
              </w:rPr>
            </w:pPr>
          </w:p>
          <w:p w:rsidR="00901440" w:rsidRDefault="00901440">
            <w:pPr>
              <w:pStyle w:val="StandardWeb"/>
              <w:jc w:val="center"/>
            </w:pPr>
            <w:r>
              <w:rPr>
                <w:rStyle w:val="Fett"/>
                <w:rFonts w:ascii="Arial" w:hAnsi="Arial" w:cs="Arial"/>
                <w:sz w:val="27"/>
                <w:szCs w:val="27"/>
                <w:u w:val="single"/>
              </w:rPr>
              <w:t>Stromsteuer</w:t>
            </w:r>
          </w:p>
          <w:p w:rsidR="00901440" w:rsidRPr="00901440" w:rsidRDefault="00901440">
            <w:pPr>
              <w:pStyle w:val="StandardWeb"/>
              <w:jc w:val="both"/>
              <w:rPr>
                <w:sz w:val="28"/>
                <w:szCs w:val="28"/>
              </w:rPr>
            </w:pPr>
            <w:r w:rsidRPr="00901440">
              <w:rPr>
                <w:rStyle w:val="Fett"/>
                <w:rFonts w:ascii="Arial" w:hAnsi="Arial" w:cs="Arial"/>
                <w:sz w:val="28"/>
                <w:szCs w:val="28"/>
                <w:shd w:val="clear" w:color="auto" w:fill="FFFFFF"/>
              </w:rPr>
              <w:t>Zu den Voraussetzungen der Inanspruchnahme einer Stromsteuerbefreiung gemäß § 9 Abs. 1 Nr. 3b StromStG bei Leistung an einen Netzbetreiber und einen Letztverbraucher</w:t>
            </w:r>
          </w:p>
          <w:p w:rsidR="00901440" w:rsidRDefault="00901440">
            <w:pPr>
              <w:pStyle w:val="StandardWeb"/>
              <w:jc w:val="both"/>
              <w:rPr>
                <w:rFonts w:ascii="Arial" w:hAnsi="Arial" w:cs="Arial"/>
                <w:sz w:val="28"/>
                <w:szCs w:val="28"/>
                <w:shd w:val="clear" w:color="auto" w:fill="FFFFFF"/>
              </w:rPr>
            </w:pPr>
            <w:r w:rsidRPr="00901440">
              <w:rPr>
                <w:rFonts w:ascii="Arial" w:hAnsi="Arial" w:cs="Arial"/>
                <w:sz w:val="28"/>
                <w:szCs w:val="28"/>
                <w:shd w:val="clear" w:color="auto" w:fill="FFFFFF"/>
              </w:rPr>
              <w:t xml:space="preserve">Die Entscheidung im Volltext: </w:t>
            </w:r>
            <w:hyperlink r:id="rId13" w:history="1">
              <w:r w:rsidRPr="00901440">
                <w:rPr>
                  <w:rStyle w:val="Hyperlink"/>
                  <w:rFonts w:ascii="Arial" w:hAnsi="Arial" w:cs="Arial"/>
                  <w:sz w:val="28"/>
                  <w:szCs w:val="28"/>
                  <w:shd w:val="clear" w:color="auto" w:fill="FFFFFF"/>
                </w:rPr>
                <w:t xml:space="preserve">4 K 2811/17 </w:t>
              </w:r>
              <w:proofErr w:type="spellStart"/>
              <w:r w:rsidRPr="00901440">
                <w:rPr>
                  <w:rStyle w:val="Hyperlink"/>
                  <w:rFonts w:ascii="Arial" w:hAnsi="Arial" w:cs="Arial"/>
                  <w:sz w:val="28"/>
                  <w:szCs w:val="28"/>
                  <w:shd w:val="clear" w:color="auto" w:fill="FFFFFF"/>
                </w:rPr>
                <w:t>VSt</w:t>
              </w:r>
              <w:proofErr w:type="spellEnd"/>
            </w:hyperlink>
          </w:p>
          <w:p w:rsidR="00901440" w:rsidRPr="00901440" w:rsidRDefault="00901440">
            <w:pPr>
              <w:pStyle w:val="StandardWeb"/>
              <w:jc w:val="both"/>
              <w:rPr>
                <w:sz w:val="28"/>
                <w:szCs w:val="28"/>
              </w:rPr>
            </w:pPr>
          </w:p>
          <w:p w:rsidR="00901440" w:rsidRDefault="00901440">
            <w:pPr>
              <w:pStyle w:val="StandardWeb"/>
              <w:jc w:val="center"/>
            </w:pPr>
            <w:r>
              <w:rPr>
                <w:rStyle w:val="Fett"/>
                <w:rFonts w:ascii="Arial" w:hAnsi="Arial" w:cs="Arial"/>
                <w:sz w:val="27"/>
                <w:szCs w:val="27"/>
                <w:u w:val="single"/>
              </w:rPr>
              <w:t>Tabaksteuer</w:t>
            </w:r>
          </w:p>
          <w:p w:rsidR="00901440" w:rsidRPr="00901440" w:rsidRDefault="00901440">
            <w:pPr>
              <w:pStyle w:val="StandardWeb"/>
              <w:jc w:val="both"/>
              <w:rPr>
                <w:sz w:val="28"/>
                <w:szCs w:val="28"/>
              </w:rPr>
            </w:pPr>
            <w:r w:rsidRPr="00901440">
              <w:rPr>
                <w:rStyle w:val="Fett"/>
                <w:rFonts w:ascii="Arial" w:hAnsi="Arial" w:cs="Arial"/>
                <w:sz w:val="28"/>
                <w:szCs w:val="28"/>
              </w:rPr>
              <w:t>EuGH-Vorlagebeschluss zur Zusatzsteuer auf erhitzten Tabak</w:t>
            </w:r>
          </w:p>
          <w:p w:rsidR="00901440" w:rsidRDefault="00901440">
            <w:pPr>
              <w:pStyle w:val="StandardWeb"/>
              <w:jc w:val="both"/>
              <w:rPr>
                <w:rFonts w:ascii="Arial" w:hAnsi="Arial" w:cs="Arial"/>
                <w:sz w:val="28"/>
                <w:szCs w:val="28"/>
              </w:rPr>
            </w:pPr>
            <w:r w:rsidRPr="00901440">
              <w:rPr>
                <w:rFonts w:ascii="Arial" w:hAnsi="Arial" w:cs="Arial"/>
                <w:sz w:val="28"/>
                <w:szCs w:val="28"/>
              </w:rPr>
              <w:t xml:space="preserve">Die Entscheidung im Volltext: </w:t>
            </w:r>
            <w:hyperlink r:id="rId14" w:history="1">
              <w:r w:rsidRPr="00901440">
                <w:rPr>
                  <w:rStyle w:val="Hyperlink"/>
                  <w:rFonts w:ascii="Arial" w:hAnsi="Arial" w:cs="Arial"/>
                  <w:sz w:val="28"/>
                  <w:szCs w:val="28"/>
                </w:rPr>
                <w:t xml:space="preserve">4 K 2661/21 </w:t>
              </w:r>
              <w:proofErr w:type="spellStart"/>
              <w:r w:rsidRPr="00901440">
                <w:rPr>
                  <w:rStyle w:val="Hyperlink"/>
                  <w:rFonts w:ascii="Arial" w:hAnsi="Arial" w:cs="Arial"/>
                  <w:sz w:val="28"/>
                  <w:szCs w:val="28"/>
                </w:rPr>
                <w:t>VTa</w:t>
              </w:r>
              <w:proofErr w:type="spellEnd"/>
            </w:hyperlink>
          </w:p>
          <w:p w:rsidR="00901440" w:rsidRDefault="00901440">
            <w:pPr>
              <w:pStyle w:val="StandardWeb"/>
              <w:jc w:val="both"/>
            </w:pPr>
          </w:p>
          <w:p w:rsidR="00901440" w:rsidRDefault="00901440">
            <w:pPr>
              <w:pStyle w:val="StandardWeb"/>
              <w:jc w:val="center"/>
            </w:pPr>
            <w:r>
              <w:rPr>
                <w:rStyle w:val="Fett"/>
                <w:rFonts w:ascii="Arial" w:hAnsi="Arial" w:cs="Arial"/>
                <w:sz w:val="27"/>
                <w:szCs w:val="27"/>
                <w:u w:val="single"/>
              </w:rPr>
              <w:t>Umsatzsteuer</w:t>
            </w:r>
          </w:p>
          <w:p w:rsidR="00901440" w:rsidRPr="00901440" w:rsidRDefault="00901440">
            <w:pPr>
              <w:pStyle w:val="StandardWeb"/>
              <w:jc w:val="both"/>
              <w:rPr>
                <w:sz w:val="28"/>
                <w:szCs w:val="28"/>
              </w:rPr>
            </w:pPr>
            <w:r w:rsidRPr="00901440">
              <w:rPr>
                <w:rStyle w:val="Fett"/>
                <w:rFonts w:ascii="Arial" w:hAnsi="Arial" w:cs="Arial"/>
                <w:sz w:val="28"/>
                <w:szCs w:val="28"/>
              </w:rPr>
              <w:t>Die bei Prepaid-Verträgen im Zeitpunkt der Deaktivierung ungenutzten Restguthaben stellen bei dem Provider umsatzsteuerpflichtige Entgelte dar (sog. Überzahlung)</w:t>
            </w:r>
          </w:p>
          <w:p w:rsidR="00901440" w:rsidRDefault="00901440">
            <w:pPr>
              <w:pStyle w:val="StandardWeb"/>
              <w:jc w:val="both"/>
              <w:rPr>
                <w:rFonts w:ascii="Arial" w:hAnsi="Arial" w:cs="Arial"/>
                <w:sz w:val="28"/>
                <w:szCs w:val="28"/>
              </w:rPr>
            </w:pPr>
            <w:r w:rsidRPr="00901440">
              <w:rPr>
                <w:rFonts w:ascii="Arial" w:hAnsi="Arial" w:cs="Arial"/>
                <w:sz w:val="28"/>
                <w:szCs w:val="28"/>
              </w:rPr>
              <w:t xml:space="preserve">Die Entscheidung im Volltext: </w:t>
            </w:r>
            <w:hyperlink r:id="rId15" w:history="1">
              <w:r w:rsidRPr="00901440">
                <w:rPr>
                  <w:rStyle w:val="Hyperlink"/>
                  <w:rFonts w:ascii="Arial" w:hAnsi="Arial" w:cs="Arial"/>
                  <w:sz w:val="28"/>
                  <w:szCs w:val="28"/>
                </w:rPr>
                <w:t>5 K 4189/13 U</w:t>
              </w:r>
            </w:hyperlink>
          </w:p>
          <w:p w:rsidR="00901440" w:rsidRDefault="00901440">
            <w:pPr>
              <w:pStyle w:val="StandardWeb"/>
              <w:jc w:val="both"/>
              <w:rPr>
                <w:rFonts w:ascii="Arial" w:hAnsi="Arial" w:cs="Arial"/>
                <w:sz w:val="28"/>
                <w:szCs w:val="28"/>
              </w:rPr>
            </w:pPr>
          </w:p>
          <w:p w:rsidR="00901440" w:rsidRDefault="00901440">
            <w:pPr>
              <w:pStyle w:val="StandardWeb"/>
              <w:jc w:val="both"/>
            </w:pPr>
          </w:p>
          <w:p w:rsidR="00901440" w:rsidRDefault="00901440">
            <w:pPr>
              <w:pStyle w:val="StandardWeb"/>
              <w:shd w:val="clear" w:color="auto" w:fill="BFBFBF"/>
              <w:jc w:val="center"/>
            </w:pPr>
            <w:r>
              <w:rPr>
                <w:rFonts w:ascii="Arial" w:hAnsi="Arial" w:cs="Arial"/>
                <w:b/>
                <w:bCs/>
                <w:color w:val="365F91"/>
                <w:sz w:val="27"/>
                <w:szCs w:val="27"/>
              </w:rPr>
              <w:lastRenderedPageBreak/>
              <w:t>In eigener Sache</w:t>
            </w:r>
          </w:p>
          <w:p w:rsidR="00901440" w:rsidRDefault="00901440">
            <w:pPr>
              <w:pStyle w:val="StandardWeb"/>
              <w:jc w:val="center"/>
            </w:pPr>
            <w:r>
              <w:rPr>
                <w:rStyle w:val="Fett"/>
                <w:rFonts w:ascii="Arial" w:hAnsi="Arial" w:cs="Arial"/>
                <w:sz w:val="27"/>
                <w:szCs w:val="27"/>
              </w:rPr>
              <w:t>Katharina Wagner zur Richterin am Bundesfinanzhof gewählt</w:t>
            </w:r>
          </w:p>
          <w:p w:rsidR="00901440" w:rsidRPr="00901440" w:rsidRDefault="00901440">
            <w:pPr>
              <w:pStyle w:val="StandardWeb"/>
              <w:jc w:val="both"/>
              <w:rPr>
                <w:sz w:val="28"/>
                <w:szCs w:val="28"/>
              </w:rPr>
            </w:pPr>
            <w:r w:rsidRPr="00901440">
              <w:rPr>
                <w:rFonts w:ascii="Arial" w:hAnsi="Arial" w:cs="Arial"/>
                <w:sz w:val="28"/>
                <w:szCs w:val="28"/>
              </w:rPr>
              <w:t>Am 07.07.2022 wurde die am Finanzgericht Düsseldorf tätige Richterin Katharina Wagner bei der Bundesrichterwahl in Berlin zur Richterin am Bundesfinanzhof, dem obersten Gericht für Steuer- und Zollsachen, gewählt.</w:t>
            </w:r>
          </w:p>
          <w:p w:rsidR="00901440" w:rsidRDefault="00901440">
            <w:pPr>
              <w:pStyle w:val="StandardWeb"/>
              <w:jc w:val="center"/>
            </w:pPr>
            <w:r>
              <w:rPr>
                <w:rFonts w:ascii="Arial" w:hAnsi="Arial" w:cs="Arial"/>
                <w:noProof/>
                <w:sz w:val="21"/>
                <w:szCs w:val="21"/>
              </w:rPr>
              <w:drawing>
                <wp:inline distT="0" distB="0" distL="0" distR="0">
                  <wp:extent cx="2381250" cy="2381250"/>
                  <wp:effectExtent l="0" t="0" r="0" b="0"/>
                  <wp:docPr id="3" name="Grafik 3" descr="Katharina Wa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tharina Wagne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inline>
              </w:drawing>
            </w:r>
          </w:p>
          <w:p w:rsidR="00901440" w:rsidRPr="00901440" w:rsidRDefault="00901440">
            <w:pPr>
              <w:pStyle w:val="StandardWeb"/>
              <w:jc w:val="both"/>
              <w:rPr>
                <w:sz w:val="28"/>
                <w:szCs w:val="28"/>
              </w:rPr>
            </w:pPr>
            <w:r w:rsidRPr="00901440">
              <w:rPr>
                <w:rFonts w:ascii="Arial" w:hAnsi="Arial" w:cs="Arial"/>
                <w:sz w:val="28"/>
                <w:szCs w:val="28"/>
              </w:rPr>
              <w:t>Die 1969 in Düren geborene Katharina Wagner studierte im Anschluss an ihre Ausbildung zur Diplom-Finanzwirtin in der Finanzverwaltung des Landes NRW Rechtswissenschaften an der Universität zu Köln. Nach dem Referendariat in Rheinland-Pfalz war Frau Wagner zunächst in einer international tätigen Wirtschaftsprüfungsgesellschaft steuerberatend tätig.</w:t>
            </w:r>
          </w:p>
          <w:p w:rsidR="00901440" w:rsidRPr="00901440" w:rsidRDefault="00901440">
            <w:pPr>
              <w:pStyle w:val="StandardWeb"/>
              <w:jc w:val="both"/>
              <w:rPr>
                <w:sz w:val="28"/>
                <w:szCs w:val="28"/>
              </w:rPr>
            </w:pPr>
            <w:r w:rsidRPr="00901440">
              <w:rPr>
                <w:rFonts w:ascii="Arial" w:hAnsi="Arial" w:cs="Arial"/>
                <w:sz w:val="28"/>
                <w:szCs w:val="28"/>
              </w:rPr>
              <w:t xml:space="preserve">Im Januar 2001 wechselte sie an das Finanzgericht Düsseldorf, wo sie 2002 zur Richterin am Finanzgericht ernannt wurde. Dort waren ihr als Mitglied des 11. Senats – zwischenzeitlich auch des 14. Senats – Streitsachen aus dem </w:t>
            </w:r>
            <w:proofErr w:type="spellStart"/>
            <w:r w:rsidRPr="00901440">
              <w:rPr>
                <w:rFonts w:ascii="Arial" w:hAnsi="Arial" w:cs="Arial"/>
                <w:sz w:val="28"/>
                <w:szCs w:val="28"/>
              </w:rPr>
              <w:t>Ertragsteuerrecht</w:t>
            </w:r>
            <w:proofErr w:type="spellEnd"/>
            <w:r w:rsidRPr="00901440">
              <w:rPr>
                <w:rFonts w:ascii="Arial" w:hAnsi="Arial" w:cs="Arial"/>
                <w:sz w:val="28"/>
                <w:szCs w:val="28"/>
              </w:rPr>
              <w:t>, der Bewertung von Grundvermögen sowie Kindergeldrecht anvertraut. Zudem gehörte sie langjährig dem Präsidium des Finanzgerichts Düsseldorf und dem Richterrat an, dessen Vorsitzende sie war. Darüber hinaus war Frau Wagner mit den Aufgaben der Gleichstellungsbeauftragten betraut.</w:t>
            </w:r>
          </w:p>
          <w:p w:rsidR="00901440" w:rsidRPr="00901440" w:rsidRDefault="00901440">
            <w:pPr>
              <w:pStyle w:val="StandardWeb"/>
              <w:jc w:val="both"/>
              <w:rPr>
                <w:sz w:val="28"/>
                <w:szCs w:val="28"/>
              </w:rPr>
            </w:pPr>
            <w:r w:rsidRPr="00901440">
              <w:rPr>
                <w:rFonts w:ascii="Arial" w:hAnsi="Arial" w:cs="Arial"/>
                <w:sz w:val="28"/>
                <w:szCs w:val="28"/>
              </w:rPr>
              <w:t xml:space="preserve">Ab Januar 2018 war sie an die Staatskanzlei, später an das Justizministerium des Landes Nordrhein-Westfalen abgeordnet. Dort leitete sie u.a. das Referat für Kabinett-, Landtags- und Bundesratsangelegenheiten, bevor sie im November 2019 zur Ministerialrätin ernannt wurde. Anfang Juli kehrte sie als Richterin zum Finanzgericht Düsseldorf zurück. Bis zu ihrem Wechsel zum Bundesfinanzhof ist sie hier im 5. Senat tätig, dessen Vorsitz sie zum 01.08.2022 übernehmen wird. </w:t>
            </w:r>
          </w:p>
          <w:p w:rsidR="00901440" w:rsidRPr="00901440" w:rsidRDefault="00901440">
            <w:pPr>
              <w:pStyle w:val="StandardWeb"/>
              <w:jc w:val="both"/>
              <w:rPr>
                <w:sz w:val="28"/>
                <w:szCs w:val="28"/>
              </w:rPr>
            </w:pPr>
            <w:r w:rsidRPr="00901440">
              <w:rPr>
                <w:rFonts w:ascii="Arial" w:hAnsi="Arial" w:cs="Arial"/>
                <w:sz w:val="28"/>
                <w:szCs w:val="28"/>
              </w:rPr>
              <w:t>Frau Wagner ist der Fachwelt durch Kommentierungen auf dem Gebiet des steuerlichen Verfahrensrechts bekannt. Sie ist verheiratet und wohnt in Wegberg.</w:t>
            </w:r>
          </w:p>
          <w:p w:rsidR="00901440" w:rsidRPr="00901440" w:rsidRDefault="00901440">
            <w:pPr>
              <w:pStyle w:val="StandardWeb"/>
              <w:jc w:val="both"/>
              <w:rPr>
                <w:sz w:val="28"/>
                <w:szCs w:val="28"/>
              </w:rPr>
            </w:pPr>
            <w:r w:rsidRPr="00901440">
              <w:rPr>
                <w:rFonts w:ascii="Arial" w:hAnsi="Arial" w:cs="Arial"/>
                <w:sz w:val="28"/>
                <w:szCs w:val="28"/>
              </w:rPr>
              <w:lastRenderedPageBreak/>
              <w:t>Die Angehörigen des Finanzgerichts Düsseldorf freuen sich mit Frau Wagner über die Wahl und wünschen ihr viel Freude und Erfolg für ihre neue Tätigkeit.</w:t>
            </w:r>
          </w:p>
          <w:p w:rsidR="00901440" w:rsidRPr="00901440" w:rsidRDefault="00901440">
            <w:pPr>
              <w:pStyle w:val="StandardWeb"/>
              <w:jc w:val="both"/>
              <w:rPr>
                <w:sz w:val="28"/>
                <w:szCs w:val="28"/>
              </w:rPr>
            </w:pPr>
          </w:p>
          <w:p w:rsidR="00901440" w:rsidRPr="00901440" w:rsidRDefault="00901440">
            <w:pPr>
              <w:pStyle w:val="StandardWeb"/>
              <w:jc w:val="both"/>
              <w:rPr>
                <w:sz w:val="28"/>
                <w:szCs w:val="28"/>
              </w:rPr>
            </w:pPr>
            <w:r w:rsidRPr="00901440">
              <w:rPr>
                <w:rFonts w:ascii="Arial" w:hAnsi="Arial" w:cs="Arial"/>
                <w:sz w:val="28"/>
                <w:szCs w:val="28"/>
              </w:rPr>
              <w:t xml:space="preserve">Nähere Informationen zur diesjährigen Bundesrichterwahl enthalten die Pressemitteilungen des </w:t>
            </w:r>
            <w:hyperlink r:id="rId17" w:tooltip="PM BMJ" w:history="1">
              <w:r w:rsidRPr="00901440">
                <w:rPr>
                  <w:rStyle w:val="Hyperlink"/>
                  <w:rFonts w:ascii="Arial" w:hAnsi="Arial" w:cs="Arial"/>
                  <w:sz w:val="28"/>
                  <w:szCs w:val="28"/>
                </w:rPr>
                <w:t>Bundesministerium der Justiz</w:t>
              </w:r>
            </w:hyperlink>
            <w:r w:rsidRPr="00901440">
              <w:rPr>
                <w:rFonts w:ascii="Arial" w:hAnsi="Arial" w:cs="Arial"/>
                <w:sz w:val="28"/>
                <w:szCs w:val="28"/>
              </w:rPr>
              <w:t xml:space="preserve"> sowie des </w:t>
            </w:r>
            <w:hyperlink r:id="rId18" w:tooltip="PM MdJ NRW" w:history="1">
              <w:r w:rsidRPr="00901440">
                <w:rPr>
                  <w:rStyle w:val="Hyperlink"/>
                  <w:rFonts w:ascii="Arial" w:hAnsi="Arial" w:cs="Arial"/>
                  <w:sz w:val="28"/>
                  <w:szCs w:val="28"/>
                </w:rPr>
                <w:t>Ministeriums der Justiz des Landes Nordrhein-Westfalen</w:t>
              </w:r>
            </w:hyperlink>
            <w:r w:rsidRPr="00901440">
              <w:rPr>
                <w:rFonts w:ascii="Arial" w:hAnsi="Arial" w:cs="Arial"/>
                <w:sz w:val="28"/>
                <w:szCs w:val="28"/>
              </w:rPr>
              <w:t>.</w:t>
            </w:r>
          </w:p>
          <w:p w:rsidR="00901440" w:rsidRDefault="00901440">
            <w:pPr>
              <w:pStyle w:val="StandardWeb"/>
              <w:jc w:val="center"/>
            </w:pPr>
          </w:p>
          <w:p w:rsidR="00901440" w:rsidRDefault="00901440">
            <w:pPr>
              <w:pStyle w:val="StandardWeb"/>
              <w:jc w:val="center"/>
            </w:pPr>
            <w:r>
              <w:rPr>
                <w:rStyle w:val="Fett"/>
                <w:rFonts w:ascii="Arial" w:hAnsi="Arial" w:cs="Arial"/>
                <w:sz w:val="27"/>
                <w:szCs w:val="27"/>
              </w:rPr>
              <w:t>Das Finanzgericht Düsseldorf sucht Verstärkung</w:t>
            </w:r>
          </w:p>
          <w:p w:rsidR="00901440" w:rsidRPr="00901440" w:rsidRDefault="00901440">
            <w:pPr>
              <w:pStyle w:val="StandardWeb"/>
              <w:jc w:val="both"/>
              <w:rPr>
                <w:sz w:val="28"/>
                <w:szCs w:val="28"/>
              </w:rPr>
            </w:pPr>
            <w:r w:rsidRPr="00901440">
              <w:rPr>
                <w:rFonts w:ascii="Arial" w:hAnsi="Arial" w:cs="Arial"/>
                <w:sz w:val="28"/>
                <w:szCs w:val="28"/>
              </w:rPr>
              <w:t xml:space="preserve">Aktuell ist am Finanzgericht Düsseldorf die Stelle einer/eines </w:t>
            </w:r>
            <w:r w:rsidRPr="00901440">
              <w:rPr>
                <w:rStyle w:val="Fett"/>
                <w:rFonts w:ascii="Arial" w:hAnsi="Arial" w:cs="Arial"/>
                <w:sz w:val="28"/>
                <w:szCs w:val="28"/>
              </w:rPr>
              <w:t>Gerichtsprüferin/Gerichtsprüfers</w:t>
            </w:r>
            <w:r w:rsidRPr="00901440">
              <w:rPr>
                <w:rFonts w:ascii="Arial" w:hAnsi="Arial" w:cs="Arial"/>
                <w:sz w:val="28"/>
                <w:szCs w:val="28"/>
              </w:rPr>
              <w:t xml:space="preserve"> neu zu besetzen. Die Ausschreibung richtet sich an Beamtinnen und Beamte der Landesfinanzverwaltungen (Dipl.-Finanzwirte) in den Besoldungsgruppen A 10 bis A 12 mit Vorerfahrungen im Bereich der Betriebsprüfung (zur </w:t>
            </w:r>
            <w:hyperlink r:id="rId19" w:history="1">
              <w:r w:rsidRPr="00901440">
                <w:rPr>
                  <w:rStyle w:val="Hyperlink"/>
                  <w:rFonts w:ascii="Arial" w:hAnsi="Arial" w:cs="Arial"/>
                  <w:sz w:val="28"/>
                  <w:szCs w:val="28"/>
                </w:rPr>
                <w:t>Stellenausschreibung</w:t>
              </w:r>
            </w:hyperlink>
            <w:r w:rsidRPr="00901440">
              <w:rPr>
                <w:rFonts w:ascii="Arial" w:hAnsi="Arial" w:cs="Arial"/>
                <w:sz w:val="28"/>
                <w:szCs w:val="28"/>
              </w:rPr>
              <w:t>).</w:t>
            </w:r>
          </w:p>
          <w:p w:rsidR="00901440" w:rsidRDefault="00901440">
            <w:pPr>
              <w:pStyle w:val="StandardWeb"/>
              <w:jc w:val="center"/>
            </w:pPr>
            <w:r>
              <w:rPr>
                <w:noProof/>
              </w:rPr>
              <w:drawing>
                <wp:inline distT="0" distB="0" distL="0" distR="0">
                  <wp:extent cx="5238750" cy="2181225"/>
                  <wp:effectExtent l="0" t="0" r="0" b="9525"/>
                  <wp:docPr id="2" name="Grafik 2" descr="https://www2.newsletterdaten.de/745110/RWTBF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2.newsletterdaten.de/745110/RWTBFHY.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8750" cy="2181225"/>
                          </a:xfrm>
                          <a:prstGeom prst="rect">
                            <a:avLst/>
                          </a:prstGeom>
                          <a:noFill/>
                          <a:ln>
                            <a:noFill/>
                          </a:ln>
                        </pic:spPr>
                      </pic:pic>
                    </a:graphicData>
                  </a:graphic>
                </wp:inline>
              </w:drawing>
            </w:r>
            <w:r>
              <w:rPr>
                <w:rFonts w:ascii="Arial" w:hAnsi="Arial" w:cs="Arial"/>
                <w:sz w:val="15"/>
                <w:szCs w:val="15"/>
              </w:rPr>
              <w:br/>
              <w:t>Quelle: Justiz NRW</w:t>
            </w:r>
          </w:p>
          <w:p w:rsidR="00901440" w:rsidRPr="00901440" w:rsidRDefault="00901440">
            <w:pPr>
              <w:pStyle w:val="StandardWeb"/>
              <w:rPr>
                <w:sz w:val="28"/>
                <w:szCs w:val="28"/>
              </w:rPr>
            </w:pPr>
            <w:r w:rsidRPr="00901440">
              <w:rPr>
                <w:rStyle w:val="Hervorhebung"/>
                <w:rFonts w:ascii="Arial" w:hAnsi="Arial" w:cs="Arial"/>
                <w:sz w:val="28"/>
                <w:szCs w:val="28"/>
              </w:rPr>
              <w:t>Schon gewusst?</w:t>
            </w:r>
          </w:p>
          <w:p w:rsidR="00901440" w:rsidRPr="00901440" w:rsidRDefault="00901440">
            <w:pPr>
              <w:pStyle w:val="StandardWeb"/>
              <w:jc w:val="both"/>
              <w:rPr>
                <w:sz w:val="28"/>
                <w:szCs w:val="28"/>
              </w:rPr>
            </w:pPr>
            <w:r w:rsidRPr="00901440">
              <w:rPr>
                <w:rFonts w:ascii="Arial" w:hAnsi="Arial" w:cs="Arial"/>
                <w:sz w:val="28"/>
                <w:szCs w:val="28"/>
              </w:rPr>
              <w:t>Gerichtsprüfer unterstützen die Richterinnen und Richter am Finanzgericht. Sie können vom zuständigen Senat beauftragt werden, wenn sich die Sachverhaltsermittlung als schwierig erweist, umfangreiches Belegmaterial auszuwerten ist oder komplexe Buchführungsfragen zu klären sind. So können Gerichtsprüfer etwa eine eigene Kalkulation durchführen, wenn der Betriebsprüfer des Finanzamts eine Buchführung als nicht ordnungsgemäß verworfen und die Besteuerungsgrundlagen daraufhin geschätzt hat. Der Vorschlag des Gerichtsprüfers bildet dann - sofern zwischen den Beteiligten keine Verständigung in Betracht kommt - häufig die Grundlage für die Entscheidung der Berufsrichter.</w:t>
            </w:r>
          </w:p>
          <w:p w:rsidR="00901440" w:rsidRPr="00901440" w:rsidRDefault="00901440">
            <w:pPr>
              <w:pStyle w:val="StandardWeb"/>
              <w:jc w:val="both"/>
              <w:rPr>
                <w:sz w:val="28"/>
                <w:szCs w:val="28"/>
              </w:rPr>
            </w:pPr>
            <w:r w:rsidRPr="00901440">
              <w:rPr>
                <w:rFonts w:ascii="Arial" w:hAnsi="Arial" w:cs="Arial"/>
                <w:sz w:val="28"/>
                <w:szCs w:val="28"/>
              </w:rPr>
              <w:t xml:space="preserve">Für weitere Auskünfte und Fragen wenden Sie sich gerne an unseren Geschäftsleiter Herrn Oberregierungsrat Oberdieck (0211/7770-1517, </w:t>
            </w:r>
            <w:hyperlink r:id="rId21" w:history="1">
              <w:r w:rsidRPr="00901440">
                <w:rPr>
                  <w:rStyle w:val="Hyperlink"/>
                  <w:rFonts w:ascii="Arial" w:hAnsi="Arial" w:cs="Arial"/>
                  <w:sz w:val="28"/>
                  <w:szCs w:val="28"/>
                </w:rPr>
                <w:t>Lutz.Oberdieck@fg-duesseldorf.nrw.de</w:t>
              </w:r>
            </w:hyperlink>
            <w:r w:rsidRPr="00901440">
              <w:rPr>
                <w:rFonts w:ascii="Arial" w:hAnsi="Arial" w:cs="Arial"/>
                <w:sz w:val="28"/>
                <w:szCs w:val="28"/>
              </w:rPr>
              <w:t>).</w:t>
            </w:r>
          </w:p>
          <w:p w:rsidR="00901440" w:rsidRDefault="00901440">
            <w:pPr>
              <w:pStyle w:val="StandardWeb"/>
              <w:jc w:val="center"/>
            </w:pPr>
            <w:r>
              <w:rPr>
                <w:rStyle w:val="Fett"/>
                <w:rFonts w:ascii="Arial" w:hAnsi="Arial" w:cs="Arial"/>
                <w:sz w:val="27"/>
                <w:szCs w:val="27"/>
              </w:rPr>
              <w:lastRenderedPageBreak/>
              <w:t>Sommerpause</w:t>
            </w:r>
          </w:p>
          <w:p w:rsidR="00901440" w:rsidRDefault="00901440">
            <w:pPr>
              <w:pStyle w:val="StandardWeb"/>
              <w:jc w:val="both"/>
              <w:rPr>
                <w:rFonts w:ascii="Arial" w:hAnsi="Arial" w:cs="Arial"/>
                <w:sz w:val="28"/>
                <w:szCs w:val="28"/>
              </w:rPr>
            </w:pPr>
            <w:r w:rsidRPr="00901440">
              <w:rPr>
                <w:rFonts w:ascii="Arial" w:hAnsi="Arial" w:cs="Arial"/>
                <w:sz w:val="28"/>
                <w:szCs w:val="28"/>
              </w:rPr>
              <w:t xml:space="preserve">Die Newsletter-Redaktion verabschiedet sich in die Sommerpause. Die nächste Ausgabe des Newsletters wird im September 2022 erscheinen. </w:t>
            </w:r>
          </w:p>
          <w:p w:rsidR="00901440" w:rsidRDefault="00901440">
            <w:pPr>
              <w:pStyle w:val="StandardWeb"/>
              <w:jc w:val="both"/>
              <w:rPr>
                <w:rFonts w:ascii="Arial" w:hAnsi="Arial" w:cs="Arial"/>
                <w:sz w:val="28"/>
                <w:szCs w:val="28"/>
              </w:rPr>
            </w:pPr>
          </w:p>
          <w:p w:rsidR="00901440" w:rsidRPr="00901440" w:rsidRDefault="00901440">
            <w:pPr>
              <w:pStyle w:val="StandardWeb"/>
              <w:jc w:val="both"/>
              <w:rPr>
                <w:sz w:val="28"/>
                <w:szCs w:val="28"/>
              </w:rPr>
            </w:pPr>
            <w:bookmarkStart w:id="0" w:name="_GoBack"/>
            <w:bookmarkEnd w:id="0"/>
          </w:p>
          <w:p w:rsidR="00901440" w:rsidRDefault="00901440" w:rsidP="00901440">
            <w:pPr>
              <w:rPr>
                <w:rFonts w:eastAsia="Times New Roman"/>
              </w:rPr>
            </w:pPr>
            <w:r>
              <w:rPr>
                <w:rFonts w:eastAsia="Times New Roman"/>
              </w:rPr>
              <w:pict>
                <v:rect id="_x0000_i1043" style="width:453.6pt;height:1.5pt" o:hrstd="t" o:hr="t" fillcolor="#a0a0a0" stroked="f"/>
              </w:pict>
            </w:r>
          </w:p>
          <w:p w:rsidR="00901440" w:rsidRDefault="00901440">
            <w:pPr>
              <w:pStyle w:val="StandardWeb"/>
              <w:jc w:val="both"/>
            </w:pPr>
            <w:r>
              <w:rPr>
                <w:rFonts w:ascii="Arial" w:hAnsi="Arial" w:cs="Arial"/>
                <w:sz w:val="21"/>
                <w:szCs w:val="21"/>
              </w:rPr>
              <w:t xml:space="preserve">Aktuelle Entscheidungen des Finanzgerichts Düsseldorf und anderer Gerichte finden Sie in der </w:t>
            </w:r>
            <w:hyperlink r:id="rId22" w:history="1">
              <w:r>
                <w:rPr>
                  <w:rStyle w:val="Hyperlink"/>
                  <w:rFonts w:ascii="Arial" w:hAnsi="Arial" w:cs="Arial"/>
                  <w:sz w:val="21"/>
                  <w:szCs w:val="21"/>
                </w:rPr>
                <w:t>Rechtsprechungsdatenbank Nordrhein-Westfalen</w:t>
              </w:r>
            </w:hyperlink>
            <w:r>
              <w:rPr>
                <w:rFonts w:ascii="Arial" w:hAnsi="Arial" w:cs="Arial"/>
                <w:sz w:val="21"/>
                <w:szCs w:val="21"/>
              </w:rPr>
              <w:t>. Dort werden Sie auch über die gewerbliche Nutzung informiert.</w:t>
            </w:r>
          </w:p>
          <w:p w:rsidR="00901440" w:rsidRDefault="00901440">
            <w:pPr>
              <w:pStyle w:val="StandardWeb"/>
              <w:jc w:val="both"/>
            </w:pPr>
            <w:r>
              <w:rPr>
                <w:rFonts w:ascii="Arial" w:hAnsi="Arial" w:cs="Arial"/>
                <w:sz w:val="21"/>
                <w:szCs w:val="21"/>
              </w:rPr>
              <w:t xml:space="preserve">Der Newsletter des Finanzgerichts Düsseldorf erscheint nach Bedarf, in der Regel monatlich. Frühere Ausgaben des Newsletters sind im </w:t>
            </w:r>
            <w:hyperlink r:id="rId23" w:history="1">
              <w:r>
                <w:rPr>
                  <w:rStyle w:val="Hyperlink"/>
                  <w:rFonts w:ascii="Arial" w:hAnsi="Arial" w:cs="Arial"/>
                  <w:sz w:val="21"/>
                  <w:szCs w:val="21"/>
                </w:rPr>
                <w:t>Archiv des Newsletters</w:t>
              </w:r>
            </w:hyperlink>
            <w:r>
              <w:rPr>
                <w:sz w:val="21"/>
                <w:szCs w:val="21"/>
              </w:rPr>
              <w:t xml:space="preserve"> </w:t>
            </w:r>
            <w:r>
              <w:rPr>
                <w:rFonts w:ascii="Arial" w:hAnsi="Arial" w:cs="Arial"/>
                <w:sz w:val="21"/>
                <w:szCs w:val="21"/>
              </w:rPr>
              <w:t xml:space="preserve">abgelegt und können dort heruntergeladen werden. Die </w:t>
            </w:r>
            <w:hyperlink r:id="rId24" w:history="1">
              <w:r>
                <w:rPr>
                  <w:rStyle w:val="Hyperlink"/>
                  <w:rFonts w:ascii="Arial" w:hAnsi="Arial" w:cs="Arial"/>
                  <w:sz w:val="21"/>
                  <w:szCs w:val="21"/>
                </w:rPr>
                <w:t>Abbestellung des Newsletters</w:t>
              </w:r>
              <w:r>
                <w:rPr>
                  <w:rStyle w:val="Hyperlink"/>
                  <w:sz w:val="21"/>
                  <w:szCs w:val="21"/>
                </w:rPr>
                <w:t xml:space="preserve"> </w:t>
              </w:r>
            </w:hyperlink>
            <w:r>
              <w:rPr>
                <w:rFonts w:ascii="Arial" w:hAnsi="Arial" w:cs="Arial"/>
                <w:sz w:val="21"/>
                <w:szCs w:val="21"/>
              </w:rPr>
              <w:t>ist jederzeit möglich.</w:t>
            </w:r>
          </w:p>
          <w:p w:rsidR="00901440" w:rsidRDefault="00901440">
            <w:pPr>
              <w:pStyle w:val="StandardWeb"/>
              <w:jc w:val="center"/>
            </w:pPr>
            <w:r>
              <w:rPr>
                <w:noProof/>
              </w:rPr>
              <w:drawing>
                <wp:inline distT="0" distB="0" distL="0" distR="0">
                  <wp:extent cx="7143750" cy="3171825"/>
                  <wp:effectExtent l="0" t="0" r="0" b="9525"/>
                  <wp:docPr id="1" name="Grafik 1" descr="https://www2.newsletterdaten.de/745110/Gebaude_auen_Son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2.newsletterdaten.de/745110/Gebaude_auen_Sonn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43750" cy="3171825"/>
                          </a:xfrm>
                          <a:prstGeom prst="rect">
                            <a:avLst/>
                          </a:prstGeom>
                          <a:noFill/>
                          <a:ln>
                            <a:noFill/>
                          </a:ln>
                        </pic:spPr>
                      </pic:pic>
                    </a:graphicData>
                  </a:graphic>
                </wp:inline>
              </w:drawing>
            </w:r>
          </w:p>
        </w:tc>
      </w:tr>
      <w:tr w:rsidR="00901440" w:rsidTr="00901440">
        <w:trPr>
          <w:tblCellSpacing w:w="0" w:type="dxa"/>
          <w:jc w:val="center"/>
        </w:trPr>
        <w:tc>
          <w:tcPr>
            <w:tcW w:w="5000" w:type="pct"/>
            <w:tcMar>
              <w:top w:w="15" w:type="dxa"/>
              <w:left w:w="15" w:type="dxa"/>
              <w:bottom w:w="15" w:type="dxa"/>
              <w:right w:w="15" w:type="dxa"/>
            </w:tcMar>
            <w:vAlign w:val="center"/>
            <w:hideMark/>
          </w:tcPr>
          <w:p w:rsidR="00901440" w:rsidRDefault="00901440"/>
        </w:tc>
      </w:tr>
      <w:tr w:rsidR="00901440" w:rsidTr="00901440">
        <w:trPr>
          <w:tblCellSpacing w:w="0" w:type="dxa"/>
          <w:jc w:val="center"/>
        </w:trPr>
        <w:tc>
          <w:tcPr>
            <w:tcW w:w="5000" w:type="pct"/>
            <w:shd w:val="clear" w:color="auto" w:fill="BFBFBF"/>
            <w:tcMar>
              <w:top w:w="15" w:type="dxa"/>
              <w:left w:w="15" w:type="dxa"/>
              <w:bottom w:w="15" w:type="dxa"/>
              <w:right w:w="15" w:type="dxa"/>
            </w:tcMar>
            <w:vAlign w:val="center"/>
            <w:hideMark/>
          </w:tcPr>
          <w:p w:rsidR="00901440" w:rsidRDefault="00901440">
            <w:pPr>
              <w:rPr>
                <w:rFonts w:eastAsia="Times New Roman"/>
                <w:sz w:val="20"/>
                <w:szCs w:val="20"/>
              </w:rPr>
            </w:pPr>
          </w:p>
        </w:tc>
      </w:tr>
      <w:tr w:rsidR="00901440" w:rsidTr="00901440">
        <w:trPr>
          <w:tblCellSpacing w:w="0" w:type="dxa"/>
          <w:jc w:val="center"/>
        </w:trPr>
        <w:tc>
          <w:tcPr>
            <w:tcW w:w="5000" w:type="pct"/>
            <w:shd w:val="clear" w:color="auto" w:fill="BFBFBF"/>
            <w:tcMar>
              <w:top w:w="15" w:type="dxa"/>
              <w:left w:w="15" w:type="dxa"/>
              <w:bottom w:w="15" w:type="dxa"/>
              <w:right w:w="15" w:type="dxa"/>
            </w:tcMar>
            <w:vAlign w:val="center"/>
            <w:hideMark/>
          </w:tcPr>
          <w:p w:rsidR="00901440" w:rsidRDefault="00901440">
            <w:pPr>
              <w:pStyle w:val="StandardWeb"/>
              <w:shd w:val="clear" w:color="auto" w:fill="BFBFBF"/>
              <w:jc w:val="both"/>
            </w:pPr>
            <w:r>
              <w:rPr>
                <w:rFonts w:ascii="Arial" w:hAnsi="Arial" w:cs="Arial"/>
                <w:sz w:val="21"/>
                <w:szCs w:val="21"/>
              </w:rPr>
              <w:t xml:space="preserve">Herausgeber: Der Präsident des Finanzgerichts Düsseldorf, Pressedezernent Ben Dörnhaus, Ludwig-Erhard-Allee 21, 40227 Düsseldorf, Telefon: 0211/7770-0, Fax: 0211/7770-2600, E-Mail: </w:t>
            </w:r>
            <w:hyperlink r:id="rId26" w:history="1">
              <w:r>
                <w:rPr>
                  <w:rStyle w:val="Hyperlink"/>
                  <w:rFonts w:ascii="Arial" w:hAnsi="Arial" w:cs="Arial"/>
                  <w:sz w:val="21"/>
                  <w:szCs w:val="21"/>
                </w:rPr>
                <w:t>pressestelle@fg-duesseldorf.nrw.de</w:t>
              </w:r>
            </w:hyperlink>
            <w:r>
              <w:rPr>
                <w:rFonts w:ascii="Arial" w:hAnsi="Arial" w:cs="Arial"/>
                <w:sz w:val="21"/>
                <w:szCs w:val="21"/>
              </w:rPr>
              <w:t xml:space="preserve"> </w:t>
            </w:r>
          </w:p>
          <w:p w:rsidR="00901440" w:rsidRDefault="00901440">
            <w:pPr>
              <w:pStyle w:val="StandardWeb"/>
              <w:shd w:val="clear" w:color="auto" w:fill="BFBFBF"/>
              <w:jc w:val="both"/>
            </w:pPr>
            <w:r>
              <w:rPr>
                <w:rFonts w:ascii="Arial" w:hAnsi="Arial" w:cs="Arial"/>
                <w:sz w:val="21"/>
                <w:szCs w:val="21"/>
              </w:rPr>
              <w:t xml:space="preserve">Redaktion: </w:t>
            </w:r>
            <w:proofErr w:type="spellStart"/>
            <w:r>
              <w:rPr>
                <w:rFonts w:ascii="Arial" w:hAnsi="Arial" w:cs="Arial"/>
                <w:sz w:val="21"/>
                <w:szCs w:val="21"/>
              </w:rPr>
              <w:t>RiFG</w:t>
            </w:r>
            <w:proofErr w:type="spellEnd"/>
            <w:r>
              <w:rPr>
                <w:rFonts w:ascii="Arial" w:hAnsi="Arial" w:cs="Arial"/>
                <w:sz w:val="21"/>
                <w:szCs w:val="21"/>
              </w:rPr>
              <w:t xml:space="preserve"> Ben Dörnhaus, </w:t>
            </w:r>
            <w:hyperlink r:id="rId27" w:history="1">
              <w:r>
                <w:rPr>
                  <w:rStyle w:val="Hyperlink"/>
                  <w:rFonts w:ascii="Arial" w:hAnsi="Arial" w:cs="Arial"/>
                  <w:sz w:val="21"/>
                  <w:szCs w:val="21"/>
                </w:rPr>
                <w:t>ben.doernhaus@fg-duesseldorf.nrw.de</w:t>
              </w:r>
            </w:hyperlink>
            <w:r>
              <w:rPr>
                <w:rFonts w:ascii="Arial" w:hAnsi="Arial" w:cs="Arial"/>
                <w:sz w:val="21"/>
                <w:szCs w:val="21"/>
              </w:rPr>
              <w:t xml:space="preserve">, </w:t>
            </w:r>
            <w:proofErr w:type="spellStart"/>
            <w:r>
              <w:rPr>
                <w:rFonts w:ascii="Arial" w:hAnsi="Arial" w:cs="Arial"/>
                <w:sz w:val="21"/>
                <w:szCs w:val="21"/>
              </w:rPr>
              <w:t>RiFG</w:t>
            </w:r>
            <w:proofErr w:type="spellEnd"/>
            <w:r>
              <w:rPr>
                <w:rFonts w:ascii="Arial" w:hAnsi="Arial" w:cs="Arial"/>
                <w:sz w:val="21"/>
                <w:szCs w:val="21"/>
              </w:rPr>
              <w:t xml:space="preserve"> Michael Krebbers, </w:t>
            </w:r>
            <w:hyperlink r:id="rId28" w:history="1">
              <w:r>
                <w:rPr>
                  <w:rStyle w:val="Hyperlink"/>
                  <w:rFonts w:ascii="Arial" w:hAnsi="Arial" w:cs="Arial"/>
                  <w:sz w:val="21"/>
                  <w:szCs w:val="21"/>
                </w:rPr>
                <w:t>michael.krebbers@fg-duesseldorf.nrw.de</w:t>
              </w:r>
            </w:hyperlink>
            <w:r>
              <w:rPr>
                <w:rFonts w:ascii="Arial" w:hAnsi="Arial" w:cs="Arial"/>
                <w:sz w:val="21"/>
                <w:szCs w:val="21"/>
              </w:rPr>
              <w:t>, Ludwig-Erhard-Allee 21, 40227 Düsseldorf, Telefon 0211/7770-1646 bzw. -1566</w:t>
            </w:r>
          </w:p>
        </w:tc>
      </w:tr>
    </w:tbl>
    <w:p w:rsidR="00A0424F" w:rsidRDefault="00A0424F"/>
    <w:sectPr w:rsidR="00A042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ersion_formatvorlage" w:val="20151020-1200"/>
  </w:docVars>
  <w:rsids>
    <w:rsidRoot w:val="00901440"/>
    <w:rsid w:val="000002A7"/>
    <w:rsid w:val="00002B6D"/>
    <w:rsid w:val="0000427E"/>
    <w:rsid w:val="00005369"/>
    <w:rsid w:val="00006EB7"/>
    <w:rsid w:val="00010E1E"/>
    <w:rsid w:val="00010FBC"/>
    <w:rsid w:val="0001202C"/>
    <w:rsid w:val="000137C5"/>
    <w:rsid w:val="000172E6"/>
    <w:rsid w:val="00020BCD"/>
    <w:rsid w:val="00021336"/>
    <w:rsid w:val="000229BD"/>
    <w:rsid w:val="000235DB"/>
    <w:rsid w:val="000254B2"/>
    <w:rsid w:val="00026004"/>
    <w:rsid w:val="0002723D"/>
    <w:rsid w:val="0002741E"/>
    <w:rsid w:val="00031E7E"/>
    <w:rsid w:val="000328F7"/>
    <w:rsid w:val="0003382B"/>
    <w:rsid w:val="000345F4"/>
    <w:rsid w:val="00041320"/>
    <w:rsid w:val="00042A53"/>
    <w:rsid w:val="00045C27"/>
    <w:rsid w:val="00050BD9"/>
    <w:rsid w:val="00053D32"/>
    <w:rsid w:val="00056D6F"/>
    <w:rsid w:val="0005772E"/>
    <w:rsid w:val="00062086"/>
    <w:rsid w:val="000639B0"/>
    <w:rsid w:val="000653C2"/>
    <w:rsid w:val="00065710"/>
    <w:rsid w:val="00066D52"/>
    <w:rsid w:val="000704B4"/>
    <w:rsid w:val="000704BC"/>
    <w:rsid w:val="0007335B"/>
    <w:rsid w:val="00073D65"/>
    <w:rsid w:val="0007405A"/>
    <w:rsid w:val="00075FA3"/>
    <w:rsid w:val="0007625A"/>
    <w:rsid w:val="0007712A"/>
    <w:rsid w:val="0007753A"/>
    <w:rsid w:val="000802B1"/>
    <w:rsid w:val="000807C9"/>
    <w:rsid w:val="000859F9"/>
    <w:rsid w:val="000876F5"/>
    <w:rsid w:val="00090656"/>
    <w:rsid w:val="00091F44"/>
    <w:rsid w:val="00095A4B"/>
    <w:rsid w:val="000A56C9"/>
    <w:rsid w:val="000A584B"/>
    <w:rsid w:val="000A6155"/>
    <w:rsid w:val="000A66CE"/>
    <w:rsid w:val="000B5048"/>
    <w:rsid w:val="000B6DA9"/>
    <w:rsid w:val="000C152E"/>
    <w:rsid w:val="000C49A5"/>
    <w:rsid w:val="000C5916"/>
    <w:rsid w:val="000C5C82"/>
    <w:rsid w:val="000D29C1"/>
    <w:rsid w:val="000D3A17"/>
    <w:rsid w:val="000D4720"/>
    <w:rsid w:val="000E1B9B"/>
    <w:rsid w:val="000E258E"/>
    <w:rsid w:val="000E4680"/>
    <w:rsid w:val="000E5339"/>
    <w:rsid w:val="000E79A8"/>
    <w:rsid w:val="000E79DB"/>
    <w:rsid w:val="000F1E90"/>
    <w:rsid w:val="000F2FA3"/>
    <w:rsid w:val="000F4C27"/>
    <w:rsid w:val="000F4C79"/>
    <w:rsid w:val="000F4C98"/>
    <w:rsid w:val="00101689"/>
    <w:rsid w:val="00105B4E"/>
    <w:rsid w:val="00106E5D"/>
    <w:rsid w:val="001108FD"/>
    <w:rsid w:val="0011149A"/>
    <w:rsid w:val="001133BF"/>
    <w:rsid w:val="00114AFD"/>
    <w:rsid w:val="00115101"/>
    <w:rsid w:val="001166E9"/>
    <w:rsid w:val="00116A1A"/>
    <w:rsid w:val="00120E5E"/>
    <w:rsid w:val="00121116"/>
    <w:rsid w:val="0012321F"/>
    <w:rsid w:val="00124202"/>
    <w:rsid w:val="0012447A"/>
    <w:rsid w:val="00124F66"/>
    <w:rsid w:val="00125BD9"/>
    <w:rsid w:val="00127300"/>
    <w:rsid w:val="00131F38"/>
    <w:rsid w:val="00133AF9"/>
    <w:rsid w:val="00133B93"/>
    <w:rsid w:val="00133BC7"/>
    <w:rsid w:val="00133C83"/>
    <w:rsid w:val="001414F0"/>
    <w:rsid w:val="00146E7B"/>
    <w:rsid w:val="001471E2"/>
    <w:rsid w:val="00150B27"/>
    <w:rsid w:val="00150BFB"/>
    <w:rsid w:val="00151C57"/>
    <w:rsid w:val="001527A6"/>
    <w:rsid w:val="00155D18"/>
    <w:rsid w:val="001562B4"/>
    <w:rsid w:val="001576DF"/>
    <w:rsid w:val="001633D8"/>
    <w:rsid w:val="00172E5F"/>
    <w:rsid w:val="00176624"/>
    <w:rsid w:val="00186F82"/>
    <w:rsid w:val="001900D0"/>
    <w:rsid w:val="00190E78"/>
    <w:rsid w:val="00191471"/>
    <w:rsid w:val="00191A48"/>
    <w:rsid w:val="00194D66"/>
    <w:rsid w:val="0019621A"/>
    <w:rsid w:val="00196B06"/>
    <w:rsid w:val="001A02B5"/>
    <w:rsid w:val="001A11EE"/>
    <w:rsid w:val="001A1261"/>
    <w:rsid w:val="001A1B6F"/>
    <w:rsid w:val="001A262D"/>
    <w:rsid w:val="001A277E"/>
    <w:rsid w:val="001A3648"/>
    <w:rsid w:val="001A371F"/>
    <w:rsid w:val="001A50EB"/>
    <w:rsid w:val="001A5C51"/>
    <w:rsid w:val="001A7168"/>
    <w:rsid w:val="001B1ADE"/>
    <w:rsid w:val="001B21C2"/>
    <w:rsid w:val="001B2AE5"/>
    <w:rsid w:val="001B40AC"/>
    <w:rsid w:val="001B4916"/>
    <w:rsid w:val="001B4D64"/>
    <w:rsid w:val="001C2BC0"/>
    <w:rsid w:val="001C3C5F"/>
    <w:rsid w:val="001C57F0"/>
    <w:rsid w:val="001C702A"/>
    <w:rsid w:val="001C7461"/>
    <w:rsid w:val="001D0DEC"/>
    <w:rsid w:val="001D1250"/>
    <w:rsid w:val="001D499E"/>
    <w:rsid w:val="001D5ABF"/>
    <w:rsid w:val="001D6AAD"/>
    <w:rsid w:val="001E09F0"/>
    <w:rsid w:val="001E2C33"/>
    <w:rsid w:val="001E491A"/>
    <w:rsid w:val="001E49B0"/>
    <w:rsid w:val="001E54D5"/>
    <w:rsid w:val="001F0897"/>
    <w:rsid w:val="001F0AD6"/>
    <w:rsid w:val="0020468A"/>
    <w:rsid w:val="002072D3"/>
    <w:rsid w:val="00212ADC"/>
    <w:rsid w:val="00213E2D"/>
    <w:rsid w:val="00213F1A"/>
    <w:rsid w:val="00215CF8"/>
    <w:rsid w:val="00215F82"/>
    <w:rsid w:val="00220A42"/>
    <w:rsid w:val="002221B1"/>
    <w:rsid w:val="00223F90"/>
    <w:rsid w:val="002243EE"/>
    <w:rsid w:val="0022554C"/>
    <w:rsid w:val="0022604C"/>
    <w:rsid w:val="00226EE1"/>
    <w:rsid w:val="0023078F"/>
    <w:rsid w:val="00231F0A"/>
    <w:rsid w:val="002321D6"/>
    <w:rsid w:val="00233B1B"/>
    <w:rsid w:val="0023638A"/>
    <w:rsid w:val="00236CD8"/>
    <w:rsid w:val="00237630"/>
    <w:rsid w:val="002402C9"/>
    <w:rsid w:val="002413FF"/>
    <w:rsid w:val="00242675"/>
    <w:rsid w:val="00245FA4"/>
    <w:rsid w:val="00251606"/>
    <w:rsid w:val="00253CBE"/>
    <w:rsid w:val="00257C85"/>
    <w:rsid w:val="002601A6"/>
    <w:rsid w:val="00260756"/>
    <w:rsid w:val="002617CD"/>
    <w:rsid w:val="0026183A"/>
    <w:rsid w:val="00262821"/>
    <w:rsid w:val="00262B9F"/>
    <w:rsid w:val="00266CD4"/>
    <w:rsid w:val="00266FA2"/>
    <w:rsid w:val="002674C7"/>
    <w:rsid w:val="00267B86"/>
    <w:rsid w:val="002752A8"/>
    <w:rsid w:val="00275FC3"/>
    <w:rsid w:val="00276119"/>
    <w:rsid w:val="002774E4"/>
    <w:rsid w:val="002779ED"/>
    <w:rsid w:val="00277A4F"/>
    <w:rsid w:val="00277EAA"/>
    <w:rsid w:val="002806CE"/>
    <w:rsid w:val="00280BA0"/>
    <w:rsid w:val="00282DD5"/>
    <w:rsid w:val="00284328"/>
    <w:rsid w:val="0028472E"/>
    <w:rsid w:val="002940CA"/>
    <w:rsid w:val="002A0136"/>
    <w:rsid w:val="002A1166"/>
    <w:rsid w:val="002A14D8"/>
    <w:rsid w:val="002A3164"/>
    <w:rsid w:val="002A61DE"/>
    <w:rsid w:val="002A7B22"/>
    <w:rsid w:val="002B0CBC"/>
    <w:rsid w:val="002B1975"/>
    <w:rsid w:val="002B1999"/>
    <w:rsid w:val="002B2A5E"/>
    <w:rsid w:val="002B2CF5"/>
    <w:rsid w:val="002C0C14"/>
    <w:rsid w:val="002C28BC"/>
    <w:rsid w:val="002C4354"/>
    <w:rsid w:val="002C4393"/>
    <w:rsid w:val="002C4A0A"/>
    <w:rsid w:val="002C529B"/>
    <w:rsid w:val="002D195B"/>
    <w:rsid w:val="002D2CF4"/>
    <w:rsid w:val="002D32C3"/>
    <w:rsid w:val="002D40EB"/>
    <w:rsid w:val="002D795F"/>
    <w:rsid w:val="002E24AC"/>
    <w:rsid w:val="002E2942"/>
    <w:rsid w:val="002E2AA7"/>
    <w:rsid w:val="002E72E8"/>
    <w:rsid w:val="002F0212"/>
    <w:rsid w:val="002F74B0"/>
    <w:rsid w:val="00303536"/>
    <w:rsid w:val="0030425A"/>
    <w:rsid w:val="003043E4"/>
    <w:rsid w:val="00304D52"/>
    <w:rsid w:val="003050E2"/>
    <w:rsid w:val="00312981"/>
    <w:rsid w:val="00312DF7"/>
    <w:rsid w:val="00314A03"/>
    <w:rsid w:val="0031633F"/>
    <w:rsid w:val="0032425A"/>
    <w:rsid w:val="00326D13"/>
    <w:rsid w:val="00330CCB"/>
    <w:rsid w:val="00331B8E"/>
    <w:rsid w:val="00331FBE"/>
    <w:rsid w:val="003343EC"/>
    <w:rsid w:val="003364A8"/>
    <w:rsid w:val="003367FF"/>
    <w:rsid w:val="003377D9"/>
    <w:rsid w:val="0033793D"/>
    <w:rsid w:val="00343C3C"/>
    <w:rsid w:val="00343EDD"/>
    <w:rsid w:val="00345663"/>
    <w:rsid w:val="003469AF"/>
    <w:rsid w:val="0035144F"/>
    <w:rsid w:val="00351601"/>
    <w:rsid w:val="00351E62"/>
    <w:rsid w:val="00352EF1"/>
    <w:rsid w:val="00353BBD"/>
    <w:rsid w:val="00356A84"/>
    <w:rsid w:val="00361175"/>
    <w:rsid w:val="00361409"/>
    <w:rsid w:val="00364B15"/>
    <w:rsid w:val="00370523"/>
    <w:rsid w:val="0037367B"/>
    <w:rsid w:val="00374BEB"/>
    <w:rsid w:val="00376F3E"/>
    <w:rsid w:val="0038102F"/>
    <w:rsid w:val="003866E7"/>
    <w:rsid w:val="00392E99"/>
    <w:rsid w:val="00397252"/>
    <w:rsid w:val="003A0A30"/>
    <w:rsid w:val="003A3318"/>
    <w:rsid w:val="003A540C"/>
    <w:rsid w:val="003A7685"/>
    <w:rsid w:val="003A794B"/>
    <w:rsid w:val="003A7E84"/>
    <w:rsid w:val="003B1E90"/>
    <w:rsid w:val="003B2460"/>
    <w:rsid w:val="003B2E60"/>
    <w:rsid w:val="003B3864"/>
    <w:rsid w:val="003B396C"/>
    <w:rsid w:val="003B3A8A"/>
    <w:rsid w:val="003B51DF"/>
    <w:rsid w:val="003B5C9D"/>
    <w:rsid w:val="003C0247"/>
    <w:rsid w:val="003C184A"/>
    <w:rsid w:val="003C2809"/>
    <w:rsid w:val="003C3386"/>
    <w:rsid w:val="003D2138"/>
    <w:rsid w:val="003D325A"/>
    <w:rsid w:val="003D5EFB"/>
    <w:rsid w:val="003D66A2"/>
    <w:rsid w:val="003D6E84"/>
    <w:rsid w:val="003E34F5"/>
    <w:rsid w:val="003E47B0"/>
    <w:rsid w:val="003E567B"/>
    <w:rsid w:val="003E734E"/>
    <w:rsid w:val="003F19F0"/>
    <w:rsid w:val="003F1C38"/>
    <w:rsid w:val="003F3C50"/>
    <w:rsid w:val="003F57EC"/>
    <w:rsid w:val="003F70F8"/>
    <w:rsid w:val="003F716E"/>
    <w:rsid w:val="00400107"/>
    <w:rsid w:val="00401364"/>
    <w:rsid w:val="004056EB"/>
    <w:rsid w:val="004071C3"/>
    <w:rsid w:val="00407B83"/>
    <w:rsid w:val="004125C0"/>
    <w:rsid w:val="00415065"/>
    <w:rsid w:val="0041512B"/>
    <w:rsid w:val="00417331"/>
    <w:rsid w:val="00420080"/>
    <w:rsid w:val="00420162"/>
    <w:rsid w:val="00425F66"/>
    <w:rsid w:val="004273DE"/>
    <w:rsid w:val="00430EBC"/>
    <w:rsid w:val="00434D62"/>
    <w:rsid w:val="004354BE"/>
    <w:rsid w:val="00436EC7"/>
    <w:rsid w:val="00442A2E"/>
    <w:rsid w:val="00447161"/>
    <w:rsid w:val="00447333"/>
    <w:rsid w:val="00447A35"/>
    <w:rsid w:val="00447D65"/>
    <w:rsid w:val="00451618"/>
    <w:rsid w:val="004521E8"/>
    <w:rsid w:val="00452E56"/>
    <w:rsid w:val="00457A51"/>
    <w:rsid w:val="004601AF"/>
    <w:rsid w:val="004614CC"/>
    <w:rsid w:val="00476882"/>
    <w:rsid w:val="00481927"/>
    <w:rsid w:val="00481AE2"/>
    <w:rsid w:val="00481DC8"/>
    <w:rsid w:val="00483C5C"/>
    <w:rsid w:val="004849CB"/>
    <w:rsid w:val="00485401"/>
    <w:rsid w:val="00485A11"/>
    <w:rsid w:val="00491368"/>
    <w:rsid w:val="004944A5"/>
    <w:rsid w:val="004964AD"/>
    <w:rsid w:val="004966DD"/>
    <w:rsid w:val="004A0FD7"/>
    <w:rsid w:val="004A1605"/>
    <w:rsid w:val="004A4A8F"/>
    <w:rsid w:val="004B158F"/>
    <w:rsid w:val="004B1E00"/>
    <w:rsid w:val="004B2529"/>
    <w:rsid w:val="004B4815"/>
    <w:rsid w:val="004B4BEB"/>
    <w:rsid w:val="004B4BF3"/>
    <w:rsid w:val="004B4C2A"/>
    <w:rsid w:val="004B5559"/>
    <w:rsid w:val="004B61BF"/>
    <w:rsid w:val="004B6B35"/>
    <w:rsid w:val="004B7C15"/>
    <w:rsid w:val="004C0BDC"/>
    <w:rsid w:val="004C0E6F"/>
    <w:rsid w:val="004C1574"/>
    <w:rsid w:val="004C24CB"/>
    <w:rsid w:val="004C309C"/>
    <w:rsid w:val="004C40F7"/>
    <w:rsid w:val="004C5F63"/>
    <w:rsid w:val="004C7526"/>
    <w:rsid w:val="004D10B6"/>
    <w:rsid w:val="004D24DF"/>
    <w:rsid w:val="004D309D"/>
    <w:rsid w:val="004D3C6C"/>
    <w:rsid w:val="004D48A6"/>
    <w:rsid w:val="004D4BD2"/>
    <w:rsid w:val="004D77B1"/>
    <w:rsid w:val="004D7D7A"/>
    <w:rsid w:val="004E0197"/>
    <w:rsid w:val="004E3BCC"/>
    <w:rsid w:val="004E5B7F"/>
    <w:rsid w:val="004F0277"/>
    <w:rsid w:val="004F0F9B"/>
    <w:rsid w:val="004F2978"/>
    <w:rsid w:val="004F2A06"/>
    <w:rsid w:val="004F5786"/>
    <w:rsid w:val="004F5FE9"/>
    <w:rsid w:val="004F61E9"/>
    <w:rsid w:val="005005F3"/>
    <w:rsid w:val="005016C0"/>
    <w:rsid w:val="00504CED"/>
    <w:rsid w:val="00504ECE"/>
    <w:rsid w:val="00515731"/>
    <w:rsid w:val="00520827"/>
    <w:rsid w:val="00521CD6"/>
    <w:rsid w:val="00524D49"/>
    <w:rsid w:val="005257D7"/>
    <w:rsid w:val="00526E9B"/>
    <w:rsid w:val="005310C2"/>
    <w:rsid w:val="00531646"/>
    <w:rsid w:val="00531E02"/>
    <w:rsid w:val="0053677D"/>
    <w:rsid w:val="00537A8C"/>
    <w:rsid w:val="0054250C"/>
    <w:rsid w:val="00544F4D"/>
    <w:rsid w:val="00545146"/>
    <w:rsid w:val="0055270D"/>
    <w:rsid w:val="00552771"/>
    <w:rsid w:val="00553E4C"/>
    <w:rsid w:val="005553F7"/>
    <w:rsid w:val="0055597D"/>
    <w:rsid w:val="00556BB2"/>
    <w:rsid w:val="005620A4"/>
    <w:rsid w:val="005623BC"/>
    <w:rsid w:val="0056641B"/>
    <w:rsid w:val="005709E7"/>
    <w:rsid w:val="005748E1"/>
    <w:rsid w:val="00574C71"/>
    <w:rsid w:val="00575366"/>
    <w:rsid w:val="00575951"/>
    <w:rsid w:val="00577C6B"/>
    <w:rsid w:val="00582674"/>
    <w:rsid w:val="00584479"/>
    <w:rsid w:val="00584555"/>
    <w:rsid w:val="00584986"/>
    <w:rsid w:val="00584EE3"/>
    <w:rsid w:val="00590B38"/>
    <w:rsid w:val="00596974"/>
    <w:rsid w:val="0059724F"/>
    <w:rsid w:val="005A150A"/>
    <w:rsid w:val="005A4CD5"/>
    <w:rsid w:val="005A5ED6"/>
    <w:rsid w:val="005A7A57"/>
    <w:rsid w:val="005B1772"/>
    <w:rsid w:val="005B3D56"/>
    <w:rsid w:val="005B51C4"/>
    <w:rsid w:val="005B5838"/>
    <w:rsid w:val="005C01DA"/>
    <w:rsid w:val="005C13CF"/>
    <w:rsid w:val="005C3836"/>
    <w:rsid w:val="005C3AD1"/>
    <w:rsid w:val="005C3B3B"/>
    <w:rsid w:val="005D1098"/>
    <w:rsid w:val="005D4487"/>
    <w:rsid w:val="005D6F71"/>
    <w:rsid w:val="005D74DF"/>
    <w:rsid w:val="005E3429"/>
    <w:rsid w:val="005E4B8E"/>
    <w:rsid w:val="005E527A"/>
    <w:rsid w:val="005E72BE"/>
    <w:rsid w:val="005F055F"/>
    <w:rsid w:val="005F14B2"/>
    <w:rsid w:val="005F2445"/>
    <w:rsid w:val="006008C6"/>
    <w:rsid w:val="006040DD"/>
    <w:rsid w:val="00604B9D"/>
    <w:rsid w:val="00610999"/>
    <w:rsid w:val="00611F32"/>
    <w:rsid w:val="00612B2E"/>
    <w:rsid w:val="00617CE9"/>
    <w:rsid w:val="006200B9"/>
    <w:rsid w:val="00622180"/>
    <w:rsid w:val="006242C5"/>
    <w:rsid w:val="00624BE3"/>
    <w:rsid w:val="00625113"/>
    <w:rsid w:val="00630C8F"/>
    <w:rsid w:val="006317D7"/>
    <w:rsid w:val="00634241"/>
    <w:rsid w:val="0063570B"/>
    <w:rsid w:val="006374B9"/>
    <w:rsid w:val="00640ADB"/>
    <w:rsid w:val="0064155A"/>
    <w:rsid w:val="00644D99"/>
    <w:rsid w:val="006457B6"/>
    <w:rsid w:val="0064580E"/>
    <w:rsid w:val="00652E33"/>
    <w:rsid w:val="00656269"/>
    <w:rsid w:val="00661346"/>
    <w:rsid w:val="00662802"/>
    <w:rsid w:val="00664CD9"/>
    <w:rsid w:val="00665D7C"/>
    <w:rsid w:val="00675FC8"/>
    <w:rsid w:val="00680C92"/>
    <w:rsid w:val="00681274"/>
    <w:rsid w:val="00683AD4"/>
    <w:rsid w:val="00693AD9"/>
    <w:rsid w:val="006940E7"/>
    <w:rsid w:val="0069640C"/>
    <w:rsid w:val="006A28C9"/>
    <w:rsid w:val="006A4728"/>
    <w:rsid w:val="006A61C9"/>
    <w:rsid w:val="006B10A9"/>
    <w:rsid w:val="006B3E17"/>
    <w:rsid w:val="006B55CE"/>
    <w:rsid w:val="006B5FF2"/>
    <w:rsid w:val="006B7C5A"/>
    <w:rsid w:val="006D14CD"/>
    <w:rsid w:val="006D2E9C"/>
    <w:rsid w:val="006D6787"/>
    <w:rsid w:val="006E2C82"/>
    <w:rsid w:val="006E3707"/>
    <w:rsid w:val="006E3B3A"/>
    <w:rsid w:val="006E3EC2"/>
    <w:rsid w:val="006E7227"/>
    <w:rsid w:val="006F39AA"/>
    <w:rsid w:val="006F603A"/>
    <w:rsid w:val="006F61E2"/>
    <w:rsid w:val="00701945"/>
    <w:rsid w:val="0070202D"/>
    <w:rsid w:val="007025DE"/>
    <w:rsid w:val="00702A24"/>
    <w:rsid w:val="00705695"/>
    <w:rsid w:val="00705832"/>
    <w:rsid w:val="00705A4C"/>
    <w:rsid w:val="00706E34"/>
    <w:rsid w:val="00707375"/>
    <w:rsid w:val="00711378"/>
    <w:rsid w:val="00713AA8"/>
    <w:rsid w:val="0072037B"/>
    <w:rsid w:val="00721022"/>
    <w:rsid w:val="007219C6"/>
    <w:rsid w:val="00722EF1"/>
    <w:rsid w:val="00723984"/>
    <w:rsid w:val="00726286"/>
    <w:rsid w:val="0072708B"/>
    <w:rsid w:val="0073159D"/>
    <w:rsid w:val="0073172E"/>
    <w:rsid w:val="00731BD7"/>
    <w:rsid w:val="0073217B"/>
    <w:rsid w:val="00733D49"/>
    <w:rsid w:val="00735DDB"/>
    <w:rsid w:val="007365DC"/>
    <w:rsid w:val="0073779B"/>
    <w:rsid w:val="00741C24"/>
    <w:rsid w:val="00745110"/>
    <w:rsid w:val="007474D9"/>
    <w:rsid w:val="007507D1"/>
    <w:rsid w:val="00753E12"/>
    <w:rsid w:val="007552B2"/>
    <w:rsid w:val="007604AB"/>
    <w:rsid w:val="00763441"/>
    <w:rsid w:val="00764327"/>
    <w:rsid w:val="007647B0"/>
    <w:rsid w:val="00765E34"/>
    <w:rsid w:val="007673C5"/>
    <w:rsid w:val="0077361E"/>
    <w:rsid w:val="0077467F"/>
    <w:rsid w:val="007753DC"/>
    <w:rsid w:val="00776240"/>
    <w:rsid w:val="0079024A"/>
    <w:rsid w:val="00790493"/>
    <w:rsid w:val="00790ADA"/>
    <w:rsid w:val="007918FD"/>
    <w:rsid w:val="00792803"/>
    <w:rsid w:val="00796381"/>
    <w:rsid w:val="00797798"/>
    <w:rsid w:val="007A47D6"/>
    <w:rsid w:val="007A4806"/>
    <w:rsid w:val="007A4CB1"/>
    <w:rsid w:val="007A5023"/>
    <w:rsid w:val="007A7DC9"/>
    <w:rsid w:val="007B0202"/>
    <w:rsid w:val="007B20D7"/>
    <w:rsid w:val="007B4A45"/>
    <w:rsid w:val="007B6E10"/>
    <w:rsid w:val="007B76E0"/>
    <w:rsid w:val="007C2F63"/>
    <w:rsid w:val="007C30E6"/>
    <w:rsid w:val="007C77CB"/>
    <w:rsid w:val="007C7CA8"/>
    <w:rsid w:val="007D0762"/>
    <w:rsid w:val="007D24F8"/>
    <w:rsid w:val="007D2B87"/>
    <w:rsid w:val="007D2DCB"/>
    <w:rsid w:val="007D3734"/>
    <w:rsid w:val="007D5AE7"/>
    <w:rsid w:val="007D6778"/>
    <w:rsid w:val="007E2882"/>
    <w:rsid w:val="007F07DF"/>
    <w:rsid w:val="007F2257"/>
    <w:rsid w:val="007F37BD"/>
    <w:rsid w:val="007F44D5"/>
    <w:rsid w:val="007F4524"/>
    <w:rsid w:val="008040D3"/>
    <w:rsid w:val="00805B46"/>
    <w:rsid w:val="00806333"/>
    <w:rsid w:val="008066B9"/>
    <w:rsid w:val="008078BF"/>
    <w:rsid w:val="00810FBB"/>
    <w:rsid w:val="0081219A"/>
    <w:rsid w:val="00815E31"/>
    <w:rsid w:val="00817A5F"/>
    <w:rsid w:val="008214C5"/>
    <w:rsid w:val="008253CB"/>
    <w:rsid w:val="0082754C"/>
    <w:rsid w:val="00831234"/>
    <w:rsid w:val="00832CF8"/>
    <w:rsid w:val="00833106"/>
    <w:rsid w:val="00833CAD"/>
    <w:rsid w:val="00837E6D"/>
    <w:rsid w:val="008432D2"/>
    <w:rsid w:val="00843E6F"/>
    <w:rsid w:val="00844B73"/>
    <w:rsid w:val="00845C42"/>
    <w:rsid w:val="00850379"/>
    <w:rsid w:val="008505B1"/>
    <w:rsid w:val="008551C3"/>
    <w:rsid w:val="0085705E"/>
    <w:rsid w:val="00860B0E"/>
    <w:rsid w:val="00862452"/>
    <w:rsid w:val="00862B48"/>
    <w:rsid w:val="00866776"/>
    <w:rsid w:val="008703AF"/>
    <w:rsid w:val="008724FB"/>
    <w:rsid w:val="0087647A"/>
    <w:rsid w:val="008766A9"/>
    <w:rsid w:val="00877DF8"/>
    <w:rsid w:val="0088094A"/>
    <w:rsid w:val="008837DE"/>
    <w:rsid w:val="008854C1"/>
    <w:rsid w:val="00886008"/>
    <w:rsid w:val="0088739F"/>
    <w:rsid w:val="008902D4"/>
    <w:rsid w:val="008916E8"/>
    <w:rsid w:val="008919A5"/>
    <w:rsid w:val="0089286E"/>
    <w:rsid w:val="008933CE"/>
    <w:rsid w:val="00894423"/>
    <w:rsid w:val="0089723B"/>
    <w:rsid w:val="008A0477"/>
    <w:rsid w:val="008A3B57"/>
    <w:rsid w:val="008A46E3"/>
    <w:rsid w:val="008A4AD0"/>
    <w:rsid w:val="008A59BB"/>
    <w:rsid w:val="008B0401"/>
    <w:rsid w:val="008B08C8"/>
    <w:rsid w:val="008B4D2D"/>
    <w:rsid w:val="008B76A9"/>
    <w:rsid w:val="008C03F3"/>
    <w:rsid w:val="008C1E83"/>
    <w:rsid w:val="008C254B"/>
    <w:rsid w:val="008C2ABF"/>
    <w:rsid w:val="008C3226"/>
    <w:rsid w:val="008C37CB"/>
    <w:rsid w:val="008C37DD"/>
    <w:rsid w:val="008C3E3F"/>
    <w:rsid w:val="008C4E3C"/>
    <w:rsid w:val="008C5E95"/>
    <w:rsid w:val="008D14BB"/>
    <w:rsid w:val="008D1735"/>
    <w:rsid w:val="008D1E81"/>
    <w:rsid w:val="008D2C6E"/>
    <w:rsid w:val="008D4DA2"/>
    <w:rsid w:val="008D55B5"/>
    <w:rsid w:val="008D5CDC"/>
    <w:rsid w:val="008D7EAE"/>
    <w:rsid w:val="008E1FD0"/>
    <w:rsid w:val="008E2700"/>
    <w:rsid w:val="008E3149"/>
    <w:rsid w:val="008E788D"/>
    <w:rsid w:val="008F0649"/>
    <w:rsid w:val="008F172E"/>
    <w:rsid w:val="008F2A7B"/>
    <w:rsid w:val="008F3721"/>
    <w:rsid w:val="008F37CB"/>
    <w:rsid w:val="008F3AC6"/>
    <w:rsid w:val="008F437B"/>
    <w:rsid w:val="008F704D"/>
    <w:rsid w:val="00901114"/>
    <w:rsid w:val="00901440"/>
    <w:rsid w:val="00904374"/>
    <w:rsid w:val="009072EA"/>
    <w:rsid w:val="0090771E"/>
    <w:rsid w:val="009150F6"/>
    <w:rsid w:val="00915754"/>
    <w:rsid w:val="009169FD"/>
    <w:rsid w:val="00916F9F"/>
    <w:rsid w:val="009213CC"/>
    <w:rsid w:val="00923879"/>
    <w:rsid w:val="00927386"/>
    <w:rsid w:val="00927CB2"/>
    <w:rsid w:val="00934BE5"/>
    <w:rsid w:val="00936E48"/>
    <w:rsid w:val="00945431"/>
    <w:rsid w:val="00946022"/>
    <w:rsid w:val="00951746"/>
    <w:rsid w:val="00951BCF"/>
    <w:rsid w:val="00955CAE"/>
    <w:rsid w:val="0095647E"/>
    <w:rsid w:val="00956E9B"/>
    <w:rsid w:val="00960A04"/>
    <w:rsid w:val="00962840"/>
    <w:rsid w:val="00966605"/>
    <w:rsid w:val="00966944"/>
    <w:rsid w:val="009704CF"/>
    <w:rsid w:val="00973E2A"/>
    <w:rsid w:val="0097678E"/>
    <w:rsid w:val="0097684B"/>
    <w:rsid w:val="00980FC6"/>
    <w:rsid w:val="00982EC0"/>
    <w:rsid w:val="009854F2"/>
    <w:rsid w:val="00986DD8"/>
    <w:rsid w:val="00986E0C"/>
    <w:rsid w:val="00987730"/>
    <w:rsid w:val="00987BA4"/>
    <w:rsid w:val="00990B1A"/>
    <w:rsid w:val="00990E9B"/>
    <w:rsid w:val="00991587"/>
    <w:rsid w:val="00991725"/>
    <w:rsid w:val="00994628"/>
    <w:rsid w:val="00994DE1"/>
    <w:rsid w:val="00995626"/>
    <w:rsid w:val="009A53C6"/>
    <w:rsid w:val="009A5B93"/>
    <w:rsid w:val="009A7E8E"/>
    <w:rsid w:val="009B06D2"/>
    <w:rsid w:val="009B510D"/>
    <w:rsid w:val="009B729B"/>
    <w:rsid w:val="009B7ABD"/>
    <w:rsid w:val="009C3770"/>
    <w:rsid w:val="009C4E96"/>
    <w:rsid w:val="009C5C44"/>
    <w:rsid w:val="009C6FB0"/>
    <w:rsid w:val="009C7A04"/>
    <w:rsid w:val="009D0D79"/>
    <w:rsid w:val="009D44F2"/>
    <w:rsid w:val="009D5356"/>
    <w:rsid w:val="009D5AB1"/>
    <w:rsid w:val="009D6F03"/>
    <w:rsid w:val="009E3C63"/>
    <w:rsid w:val="009E5163"/>
    <w:rsid w:val="009E7795"/>
    <w:rsid w:val="009F14DD"/>
    <w:rsid w:val="009F3A28"/>
    <w:rsid w:val="009F3D0C"/>
    <w:rsid w:val="009F4CF7"/>
    <w:rsid w:val="009F7B11"/>
    <w:rsid w:val="00A008FD"/>
    <w:rsid w:val="00A009C3"/>
    <w:rsid w:val="00A00C76"/>
    <w:rsid w:val="00A027E3"/>
    <w:rsid w:val="00A028B1"/>
    <w:rsid w:val="00A02B47"/>
    <w:rsid w:val="00A037D1"/>
    <w:rsid w:val="00A03EF7"/>
    <w:rsid w:val="00A0424F"/>
    <w:rsid w:val="00A04862"/>
    <w:rsid w:val="00A04EF5"/>
    <w:rsid w:val="00A06A19"/>
    <w:rsid w:val="00A10849"/>
    <w:rsid w:val="00A14551"/>
    <w:rsid w:val="00A14609"/>
    <w:rsid w:val="00A17315"/>
    <w:rsid w:val="00A22F19"/>
    <w:rsid w:val="00A23350"/>
    <w:rsid w:val="00A23A9C"/>
    <w:rsid w:val="00A24C45"/>
    <w:rsid w:val="00A25454"/>
    <w:rsid w:val="00A27547"/>
    <w:rsid w:val="00A30872"/>
    <w:rsid w:val="00A30A68"/>
    <w:rsid w:val="00A31337"/>
    <w:rsid w:val="00A33750"/>
    <w:rsid w:val="00A33C2E"/>
    <w:rsid w:val="00A33D7C"/>
    <w:rsid w:val="00A36889"/>
    <w:rsid w:val="00A36B14"/>
    <w:rsid w:val="00A377A2"/>
    <w:rsid w:val="00A4119E"/>
    <w:rsid w:val="00A4214F"/>
    <w:rsid w:val="00A50CDD"/>
    <w:rsid w:val="00A52BE6"/>
    <w:rsid w:val="00A532E6"/>
    <w:rsid w:val="00A53C32"/>
    <w:rsid w:val="00A53FBE"/>
    <w:rsid w:val="00A56FB8"/>
    <w:rsid w:val="00A629E3"/>
    <w:rsid w:val="00A6337C"/>
    <w:rsid w:val="00A65938"/>
    <w:rsid w:val="00A674BC"/>
    <w:rsid w:val="00A80288"/>
    <w:rsid w:val="00A805B5"/>
    <w:rsid w:val="00A84EB0"/>
    <w:rsid w:val="00A9196A"/>
    <w:rsid w:val="00A94412"/>
    <w:rsid w:val="00A94C75"/>
    <w:rsid w:val="00AA29EF"/>
    <w:rsid w:val="00AA56B9"/>
    <w:rsid w:val="00AB1825"/>
    <w:rsid w:val="00AB3948"/>
    <w:rsid w:val="00AB3C0D"/>
    <w:rsid w:val="00AC1262"/>
    <w:rsid w:val="00AC3FCE"/>
    <w:rsid w:val="00AC5B1E"/>
    <w:rsid w:val="00AC6CD8"/>
    <w:rsid w:val="00AD1930"/>
    <w:rsid w:val="00AD1B8E"/>
    <w:rsid w:val="00AD3A35"/>
    <w:rsid w:val="00AD4602"/>
    <w:rsid w:val="00AD6109"/>
    <w:rsid w:val="00AD632A"/>
    <w:rsid w:val="00AD6D5B"/>
    <w:rsid w:val="00AE2583"/>
    <w:rsid w:val="00AE532F"/>
    <w:rsid w:val="00AF344C"/>
    <w:rsid w:val="00AF6A67"/>
    <w:rsid w:val="00AF7E45"/>
    <w:rsid w:val="00B00E5F"/>
    <w:rsid w:val="00B030D2"/>
    <w:rsid w:val="00B044F6"/>
    <w:rsid w:val="00B05609"/>
    <w:rsid w:val="00B076EE"/>
    <w:rsid w:val="00B079C7"/>
    <w:rsid w:val="00B07D1F"/>
    <w:rsid w:val="00B123A6"/>
    <w:rsid w:val="00B12BBB"/>
    <w:rsid w:val="00B134CF"/>
    <w:rsid w:val="00B206D0"/>
    <w:rsid w:val="00B2378F"/>
    <w:rsid w:val="00B30B2F"/>
    <w:rsid w:val="00B30D42"/>
    <w:rsid w:val="00B30F78"/>
    <w:rsid w:val="00B317C2"/>
    <w:rsid w:val="00B3280F"/>
    <w:rsid w:val="00B32F8D"/>
    <w:rsid w:val="00B3609B"/>
    <w:rsid w:val="00B37F88"/>
    <w:rsid w:val="00B40A62"/>
    <w:rsid w:val="00B40EE4"/>
    <w:rsid w:val="00B44230"/>
    <w:rsid w:val="00B4560E"/>
    <w:rsid w:val="00B47B21"/>
    <w:rsid w:val="00B5040B"/>
    <w:rsid w:val="00B513E1"/>
    <w:rsid w:val="00B51C53"/>
    <w:rsid w:val="00B53E48"/>
    <w:rsid w:val="00B55C7B"/>
    <w:rsid w:val="00B56B72"/>
    <w:rsid w:val="00B6314B"/>
    <w:rsid w:val="00B63658"/>
    <w:rsid w:val="00B63FE0"/>
    <w:rsid w:val="00B675C3"/>
    <w:rsid w:val="00B7132B"/>
    <w:rsid w:val="00B71542"/>
    <w:rsid w:val="00B73171"/>
    <w:rsid w:val="00B76457"/>
    <w:rsid w:val="00B7663D"/>
    <w:rsid w:val="00B76CAA"/>
    <w:rsid w:val="00B86499"/>
    <w:rsid w:val="00B86638"/>
    <w:rsid w:val="00B91EC8"/>
    <w:rsid w:val="00B92679"/>
    <w:rsid w:val="00B977F4"/>
    <w:rsid w:val="00B97F33"/>
    <w:rsid w:val="00BA1146"/>
    <w:rsid w:val="00BA1ACE"/>
    <w:rsid w:val="00BA32C3"/>
    <w:rsid w:val="00BA4477"/>
    <w:rsid w:val="00BA5ED8"/>
    <w:rsid w:val="00BA7461"/>
    <w:rsid w:val="00BB1325"/>
    <w:rsid w:val="00BB29F4"/>
    <w:rsid w:val="00BB3227"/>
    <w:rsid w:val="00BB3BE7"/>
    <w:rsid w:val="00BB3F7E"/>
    <w:rsid w:val="00BC16BE"/>
    <w:rsid w:val="00BC2076"/>
    <w:rsid w:val="00BC2F44"/>
    <w:rsid w:val="00BC40A3"/>
    <w:rsid w:val="00BC56CC"/>
    <w:rsid w:val="00BC7A30"/>
    <w:rsid w:val="00BD1EE0"/>
    <w:rsid w:val="00BE26EB"/>
    <w:rsid w:val="00BE43CB"/>
    <w:rsid w:val="00BE4744"/>
    <w:rsid w:val="00BE7896"/>
    <w:rsid w:val="00BF3DAF"/>
    <w:rsid w:val="00BF4686"/>
    <w:rsid w:val="00BF4D32"/>
    <w:rsid w:val="00C0038C"/>
    <w:rsid w:val="00C03AF2"/>
    <w:rsid w:val="00C0549A"/>
    <w:rsid w:val="00C06FF1"/>
    <w:rsid w:val="00C12F86"/>
    <w:rsid w:val="00C14ED0"/>
    <w:rsid w:val="00C1751D"/>
    <w:rsid w:val="00C204E8"/>
    <w:rsid w:val="00C21861"/>
    <w:rsid w:val="00C21FC4"/>
    <w:rsid w:val="00C221E2"/>
    <w:rsid w:val="00C22B33"/>
    <w:rsid w:val="00C233FD"/>
    <w:rsid w:val="00C25B8D"/>
    <w:rsid w:val="00C27C18"/>
    <w:rsid w:val="00C31290"/>
    <w:rsid w:val="00C32903"/>
    <w:rsid w:val="00C33A64"/>
    <w:rsid w:val="00C35B20"/>
    <w:rsid w:val="00C370B2"/>
    <w:rsid w:val="00C40152"/>
    <w:rsid w:val="00C40F91"/>
    <w:rsid w:val="00C417DB"/>
    <w:rsid w:val="00C42D08"/>
    <w:rsid w:val="00C4300C"/>
    <w:rsid w:val="00C43362"/>
    <w:rsid w:val="00C43DAF"/>
    <w:rsid w:val="00C4418B"/>
    <w:rsid w:val="00C443E9"/>
    <w:rsid w:val="00C44551"/>
    <w:rsid w:val="00C466E0"/>
    <w:rsid w:val="00C47214"/>
    <w:rsid w:val="00C50ED4"/>
    <w:rsid w:val="00C514E5"/>
    <w:rsid w:val="00C5355E"/>
    <w:rsid w:val="00C5378E"/>
    <w:rsid w:val="00C54A94"/>
    <w:rsid w:val="00C57D6E"/>
    <w:rsid w:val="00C62166"/>
    <w:rsid w:val="00C6349C"/>
    <w:rsid w:val="00C64486"/>
    <w:rsid w:val="00C661A3"/>
    <w:rsid w:val="00C664E7"/>
    <w:rsid w:val="00C66AED"/>
    <w:rsid w:val="00C67CCB"/>
    <w:rsid w:val="00C72EEB"/>
    <w:rsid w:val="00C73874"/>
    <w:rsid w:val="00C73D31"/>
    <w:rsid w:val="00C750C1"/>
    <w:rsid w:val="00C77AFD"/>
    <w:rsid w:val="00C80B71"/>
    <w:rsid w:val="00C83281"/>
    <w:rsid w:val="00C86368"/>
    <w:rsid w:val="00C87238"/>
    <w:rsid w:val="00C904B6"/>
    <w:rsid w:val="00C92B9F"/>
    <w:rsid w:val="00C931AA"/>
    <w:rsid w:val="00C93D05"/>
    <w:rsid w:val="00C95117"/>
    <w:rsid w:val="00C95582"/>
    <w:rsid w:val="00CA37C6"/>
    <w:rsid w:val="00CA41DA"/>
    <w:rsid w:val="00CA5AA1"/>
    <w:rsid w:val="00CA5FB7"/>
    <w:rsid w:val="00CB30F6"/>
    <w:rsid w:val="00CB4EAB"/>
    <w:rsid w:val="00CC0214"/>
    <w:rsid w:val="00CC3829"/>
    <w:rsid w:val="00CC4269"/>
    <w:rsid w:val="00CC4C76"/>
    <w:rsid w:val="00CC5335"/>
    <w:rsid w:val="00CC616D"/>
    <w:rsid w:val="00CC66E2"/>
    <w:rsid w:val="00CC7661"/>
    <w:rsid w:val="00CD2145"/>
    <w:rsid w:val="00CD2617"/>
    <w:rsid w:val="00CD37AD"/>
    <w:rsid w:val="00CD3D9E"/>
    <w:rsid w:val="00CD4F8A"/>
    <w:rsid w:val="00CD58C8"/>
    <w:rsid w:val="00CD6ED3"/>
    <w:rsid w:val="00CD7B8A"/>
    <w:rsid w:val="00CE1469"/>
    <w:rsid w:val="00CE287C"/>
    <w:rsid w:val="00CE2F58"/>
    <w:rsid w:val="00CE429E"/>
    <w:rsid w:val="00CE42CA"/>
    <w:rsid w:val="00CE4BD0"/>
    <w:rsid w:val="00CE758C"/>
    <w:rsid w:val="00CE7602"/>
    <w:rsid w:val="00CF18C2"/>
    <w:rsid w:val="00CF2BEF"/>
    <w:rsid w:val="00CF369E"/>
    <w:rsid w:val="00CF3A0D"/>
    <w:rsid w:val="00D02B00"/>
    <w:rsid w:val="00D03F08"/>
    <w:rsid w:val="00D04085"/>
    <w:rsid w:val="00D04FEC"/>
    <w:rsid w:val="00D06C4C"/>
    <w:rsid w:val="00D10694"/>
    <w:rsid w:val="00D10CD7"/>
    <w:rsid w:val="00D123F9"/>
    <w:rsid w:val="00D12610"/>
    <w:rsid w:val="00D12F69"/>
    <w:rsid w:val="00D13EA1"/>
    <w:rsid w:val="00D1446B"/>
    <w:rsid w:val="00D16C14"/>
    <w:rsid w:val="00D17C35"/>
    <w:rsid w:val="00D21B01"/>
    <w:rsid w:val="00D23218"/>
    <w:rsid w:val="00D23A05"/>
    <w:rsid w:val="00D27F8E"/>
    <w:rsid w:val="00D303B4"/>
    <w:rsid w:val="00D30BC4"/>
    <w:rsid w:val="00D31941"/>
    <w:rsid w:val="00D31A5B"/>
    <w:rsid w:val="00D33EB8"/>
    <w:rsid w:val="00D3696F"/>
    <w:rsid w:val="00D37022"/>
    <w:rsid w:val="00D441B0"/>
    <w:rsid w:val="00D4470C"/>
    <w:rsid w:val="00D452F9"/>
    <w:rsid w:val="00D45BD9"/>
    <w:rsid w:val="00D477DA"/>
    <w:rsid w:val="00D50C6E"/>
    <w:rsid w:val="00D516EC"/>
    <w:rsid w:val="00D51E5F"/>
    <w:rsid w:val="00D53ABE"/>
    <w:rsid w:val="00D546D1"/>
    <w:rsid w:val="00D560F2"/>
    <w:rsid w:val="00D573DA"/>
    <w:rsid w:val="00D609C8"/>
    <w:rsid w:val="00D61183"/>
    <w:rsid w:val="00D619AB"/>
    <w:rsid w:val="00D63E11"/>
    <w:rsid w:val="00D64B62"/>
    <w:rsid w:val="00D655F8"/>
    <w:rsid w:val="00D66A41"/>
    <w:rsid w:val="00D704EA"/>
    <w:rsid w:val="00D72C79"/>
    <w:rsid w:val="00D732AE"/>
    <w:rsid w:val="00D735EF"/>
    <w:rsid w:val="00D744E7"/>
    <w:rsid w:val="00D7662D"/>
    <w:rsid w:val="00D76B0E"/>
    <w:rsid w:val="00D8028D"/>
    <w:rsid w:val="00D9040C"/>
    <w:rsid w:val="00D922B0"/>
    <w:rsid w:val="00D96509"/>
    <w:rsid w:val="00DA0C21"/>
    <w:rsid w:val="00DA795E"/>
    <w:rsid w:val="00DB0FB7"/>
    <w:rsid w:val="00DB1150"/>
    <w:rsid w:val="00DC0494"/>
    <w:rsid w:val="00DC3879"/>
    <w:rsid w:val="00DC4E04"/>
    <w:rsid w:val="00DC6366"/>
    <w:rsid w:val="00DD127C"/>
    <w:rsid w:val="00DD429B"/>
    <w:rsid w:val="00DD5076"/>
    <w:rsid w:val="00DD69BA"/>
    <w:rsid w:val="00DE42F7"/>
    <w:rsid w:val="00DE7123"/>
    <w:rsid w:val="00DE7701"/>
    <w:rsid w:val="00DF0619"/>
    <w:rsid w:val="00DF0DD8"/>
    <w:rsid w:val="00DF3A9D"/>
    <w:rsid w:val="00DF463A"/>
    <w:rsid w:val="00DF4F1E"/>
    <w:rsid w:val="00E06779"/>
    <w:rsid w:val="00E06D9B"/>
    <w:rsid w:val="00E11CFE"/>
    <w:rsid w:val="00E165BD"/>
    <w:rsid w:val="00E177A0"/>
    <w:rsid w:val="00E178BE"/>
    <w:rsid w:val="00E21391"/>
    <w:rsid w:val="00E21870"/>
    <w:rsid w:val="00E26A44"/>
    <w:rsid w:val="00E31345"/>
    <w:rsid w:val="00E3134B"/>
    <w:rsid w:val="00E31887"/>
    <w:rsid w:val="00E323EF"/>
    <w:rsid w:val="00E33A0A"/>
    <w:rsid w:val="00E36EA9"/>
    <w:rsid w:val="00E37E11"/>
    <w:rsid w:val="00E425AE"/>
    <w:rsid w:val="00E42CE9"/>
    <w:rsid w:val="00E444F1"/>
    <w:rsid w:val="00E4506F"/>
    <w:rsid w:val="00E459D8"/>
    <w:rsid w:val="00E5595E"/>
    <w:rsid w:val="00E56694"/>
    <w:rsid w:val="00E567D5"/>
    <w:rsid w:val="00E7499C"/>
    <w:rsid w:val="00E74FCF"/>
    <w:rsid w:val="00E75259"/>
    <w:rsid w:val="00E752DB"/>
    <w:rsid w:val="00E75E90"/>
    <w:rsid w:val="00E76ED4"/>
    <w:rsid w:val="00E83DFC"/>
    <w:rsid w:val="00E84E89"/>
    <w:rsid w:val="00E85F79"/>
    <w:rsid w:val="00E90C84"/>
    <w:rsid w:val="00E975DD"/>
    <w:rsid w:val="00EA5E01"/>
    <w:rsid w:val="00EA5E3F"/>
    <w:rsid w:val="00EA6838"/>
    <w:rsid w:val="00EA6A3D"/>
    <w:rsid w:val="00EB07BE"/>
    <w:rsid w:val="00EB45C9"/>
    <w:rsid w:val="00EB57A8"/>
    <w:rsid w:val="00EC01EE"/>
    <w:rsid w:val="00EC0CCA"/>
    <w:rsid w:val="00EC1956"/>
    <w:rsid w:val="00EC2B80"/>
    <w:rsid w:val="00ED0C43"/>
    <w:rsid w:val="00ED5E1E"/>
    <w:rsid w:val="00ED7A01"/>
    <w:rsid w:val="00ED7DB5"/>
    <w:rsid w:val="00ED7DC4"/>
    <w:rsid w:val="00EE1F5F"/>
    <w:rsid w:val="00EE23A9"/>
    <w:rsid w:val="00EE2DE7"/>
    <w:rsid w:val="00EE4C00"/>
    <w:rsid w:val="00EE4C6A"/>
    <w:rsid w:val="00EE58E5"/>
    <w:rsid w:val="00EE5BBB"/>
    <w:rsid w:val="00EE6AB3"/>
    <w:rsid w:val="00EF3D6D"/>
    <w:rsid w:val="00EF41EA"/>
    <w:rsid w:val="00F00EB0"/>
    <w:rsid w:val="00F03E8B"/>
    <w:rsid w:val="00F04996"/>
    <w:rsid w:val="00F04CAA"/>
    <w:rsid w:val="00F054DE"/>
    <w:rsid w:val="00F073BD"/>
    <w:rsid w:val="00F100A2"/>
    <w:rsid w:val="00F13B98"/>
    <w:rsid w:val="00F13FAD"/>
    <w:rsid w:val="00F17D66"/>
    <w:rsid w:val="00F22E96"/>
    <w:rsid w:val="00F25752"/>
    <w:rsid w:val="00F27D48"/>
    <w:rsid w:val="00F30FD3"/>
    <w:rsid w:val="00F315C7"/>
    <w:rsid w:val="00F32FDC"/>
    <w:rsid w:val="00F374E4"/>
    <w:rsid w:val="00F4082F"/>
    <w:rsid w:val="00F43146"/>
    <w:rsid w:val="00F46E67"/>
    <w:rsid w:val="00F50979"/>
    <w:rsid w:val="00F52D0A"/>
    <w:rsid w:val="00F5335A"/>
    <w:rsid w:val="00F55C91"/>
    <w:rsid w:val="00F57E37"/>
    <w:rsid w:val="00F6022D"/>
    <w:rsid w:val="00F60DF5"/>
    <w:rsid w:val="00F63043"/>
    <w:rsid w:val="00F64AB4"/>
    <w:rsid w:val="00F65775"/>
    <w:rsid w:val="00F6593C"/>
    <w:rsid w:val="00F6792D"/>
    <w:rsid w:val="00F70F69"/>
    <w:rsid w:val="00F73C6E"/>
    <w:rsid w:val="00F756A0"/>
    <w:rsid w:val="00F756DA"/>
    <w:rsid w:val="00F778E8"/>
    <w:rsid w:val="00F8376A"/>
    <w:rsid w:val="00F92C27"/>
    <w:rsid w:val="00F940A1"/>
    <w:rsid w:val="00F95205"/>
    <w:rsid w:val="00F97139"/>
    <w:rsid w:val="00FA14A5"/>
    <w:rsid w:val="00FA29AC"/>
    <w:rsid w:val="00FA5490"/>
    <w:rsid w:val="00FA5A5D"/>
    <w:rsid w:val="00FA5C0D"/>
    <w:rsid w:val="00FB1E00"/>
    <w:rsid w:val="00FB3AF4"/>
    <w:rsid w:val="00FB4F16"/>
    <w:rsid w:val="00FB5C51"/>
    <w:rsid w:val="00FB7FD5"/>
    <w:rsid w:val="00FC212D"/>
    <w:rsid w:val="00FC3896"/>
    <w:rsid w:val="00FC46D5"/>
    <w:rsid w:val="00FC5E6D"/>
    <w:rsid w:val="00FC7458"/>
    <w:rsid w:val="00FD0024"/>
    <w:rsid w:val="00FD0EA4"/>
    <w:rsid w:val="00FD2C89"/>
    <w:rsid w:val="00FE17DC"/>
    <w:rsid w:val="00FE1D22"/>
    <w:rsid w:val="00FE1D4F"/>
    <w:rsid w:val="00FE2A07"/>
    <w:rsid w:val="00FE3B59"/>
    <w:rsid w:val="00FE5AC4"/>
    <w:rsid w:val="00FE5CCD"/>
    <w:rsid w:val="00FE727B"/>
    <w:rsid w:val="00FF1DAA"/>
    <w:rsid w:val="00FF4720"/>
    <w:rsid w:val="00FF4EB2"/>
    <w:rsid w:val="00FF55F4"/>
    <w:rsid w:val="00FF6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5FAE41-5DE8-40D9-BE91-BFDBCA61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1440"/>
    <w:rPr>
      <w:rFonts w:ascii="Times New Roman" w:eastAsiaTheme="minorHAnsi" w:hAnsi="Times New Roman"/>
    </w:rPr>
  </w:style>
  <w:style w:type="paragraph" w:styleId="berschrift3">
    <w:name w:val="heading 3"/>
    <w:basedOn w:val="Standard"/>
    <w:link w:val="berschrift3Zchn"/>
    <w:uiPriority w:val="9"/>
    <w:semiHidden/>
    <w:unhideWhenUsed/>
    <w:qFormat/>
    <w:rsid w:val="00901440"/>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semiHidden/>
    <w:rsid w:val="00901440"/>
    <w:rPr>
      <w:rFonts w:ascii="Times New Roman" w:eastAsiaTheme="minorHAnsi" w:hAnsi="Times New Roman"/>
      <w:b/>
      <w:bCs/>
      <w:sz w:val="27"/>
      <w:szCs w:val="27"/>
    </w:rPr>
  </w:style>
  <w:style w:type="character" w:styleId="Hyperlink">
    <w:name w:val="Hyperlink"/>
    <w:basedOn w:val="Absatz-Standardschriftart"/>
    <w:uiPriority w:val="99"/>
    <w:semiHidden/>
    <w:unhideWhenUsed/>
    <w:rsid w:val="00901440"/>
    <w:rPr>
      <w:color w:val="0000FF"/>
      <w:u w:val="single"/>
    </w:rPr>
  </w:style>
  <w:style w:type="paragraph" w:styleId="StandardWeb">
    <w:name w:val="Normal (Web)"/>
    <w:basedOn w:val="Standard"/>
    <w:uiPriority w:val="99"/>
    <w:semiHidden/>
    <w:unhideWhenUsed/>
    <w:rsid w:val="00901440"/>
    <w:pPr>
      <w:spacing w:before="100" w:beforeAutospacing="1" w:after="100" w:afterAutospacing="1"/>
    </w:pPr>
  </w:style>
  <w:style w:type="character" w:styleId="Fett">
    <w:name w:val="Strong"/>
    <w:basedOn w:val="Absatz-Standardschriftart"/>
    <w:uiPriority w:val="22"/>
    <w:qFormat/>
    <w:rsid w:val="00901440"/>
    <w:rPr>
      <w:b/>
      <w:bCs/>
    </w:rPr>
  </w:style>
  <w:style w:type="character" w:styleId="HTMLAkronym">
    <w:name w:val="HTML Acronym"/>
    <w:basedOn w:val="Absatz-Standardschriftart"/>
    <w:uiPriority w:val="99"/>
    <w:semiHidden/>
    <w:unhideWhenUsed/>
    <w:rsid w:val="00901440"/>
  </w:style>
  <w:style w:type="character" w:styleId="Hervorhebung">
    <w:name w:val="Emphasis"/>
    <w:basedOn w:val="Absatz-Standardschriftart"/>
    <w:uiPriority w:val="20"/>
    <w:qFormat/>
    <w:rsid w:val="00901440"/>
    <w:rPr>
      <w:i/>
      <w:iCs/>
    </w:rPr>
  </w:style>
  <w:style w:type="paragraph" w:styleId="Sprechblasentext">
    <w:name w:val="Balloon Text"/>
    <w:basedOn w:val="Standard"/>
    <w:link w:val="SprechblasentextZchn"/>
    <w:uiPriority w:val="99"/>
    <w:semiHidden/>
    <w:unhideWhenUsed/>
    <w:rsid w:val="0090144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1440"/>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056615">
      <w:bodyDiv w:val="1"/>
      <w:marLeft w:val="0"/>
      <w:marRight w:val="0"/>
      <w:marTop w:val="0"/>
      <w:marBottom w:val="0"/>
      <w:divBdr>
        <w:top w:val="none" w:sz="0" w:space="0" w:color="auto"/>
        <w:left w:val="none" w:sz="0" w:space="0" w:color="auto"/>
        <w:bottom w:val="none" w:sz="0" w:space="0" w:color="auto"/>
        <w:right w:val="none" w:sz="0" w:space="0" w:color="auto"/>
      </w:divBdr>
      <w:divsChild>
        <w:div w:id="1954363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z.nrw.de/nrwe/fgs/duesseldorf/j2022/4_K_892_21_VBr_Urteil_20220518.html" TargetMode="External"/><Relationship Id="rId13" Type="http://schemas.openxmlformats.org/officeDocument/2006/relationships/hyperlink" Target="https://www.justiz.nrw.de/nrwe/fgs/duesseldorf/j2022/4_K_2811_17_VSt_Urteil_20220518.html" TargetMode="External"/><Relationship Id="rId18" Type="http://schemas.openxmlformats.org/officeDocument/2006/relationships/hyperlink" Target="https://www.justiz.nrw.de/JM/Presse/PresseJM/2022_07_07_PM_Bundesrichterwahlen/index.php" TargetMode="External"/><Relationship Id="rId26" Type="http://schemas.openxmlformats.org/officeDocument/2006/relationships/hyperlink" Target="mailto:pressestelle@fg-duesseldorf.nrw.de" TargetMode="External"/><Relationship Id="rId3" Type="http://schemas.openxmlformats.org/officeDocument/2006/relationships/webSettings" Target="webSettings.xml"/><Relationship Id="rId21" Type="http://schemas.openxmlformats.org/officeDocument/2006/relationships/hyperlink" Target="mailto:Lutz.Oberdieck@fg-duesseldorf.nrw.de" TargetMode="External"/><Relationship Id="rId7" Type="http://schemas.openxmlformats.org/officeDocument/2006/relationships/hyperlink" Target="https://www.justiz.nrw.de/nrwe/fgs/duesseldorf/j2022/10_K_1175_19_E_Urteil_20220412.html" TargetMode="External"/><Relationship Id="rId12" Type="http://schemas.openxmlformats.org/officeDocument/2006/relationships/hyperlink" Target="https://www.justiz.nrw.de/nrwe/fgs/duesseldorf/j2022/2_K_3400_18_G_Urteil_20220511.html" TargetMode="External"/><Relationship Id="rId17" Type="http://schemas.openxmlformats.org/officeDocument/2006/relationships/hyperlink" Target="https://www.bmj.de/SharedDocs/Pressemitteilungen/DE/2022/0707_Bundesrichterwahl.html" TargetMode="External"/><Relationship Id="rId25" Type="http://schemas.openxmlformats.org/officeDocument/2006/relationships/image" Target="media/image4.jpeg"/><Relationship Id="rId2" Type="http://schemas.openxmlformats.org/officeDocument/2006/relationships/settings" Target="settings.xml"/><Relationship Id="rId16" Type="http://schemas.openxmlformats.org/officeDocument/2006/relationships/image" Target="media/image2.jpeg"/><Relationship Id="rId20" Type="http://schemas.openxmlformats.org/officeDocument/2006/relationships/image" Target="media/image3.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justiz.nrw.de/nrwe/fgs/duesseldorf/j2022/8_K_1836_18_F_Urteil_20220414.html" TargetMode="External"/><Relationship Id="rId11" Type="http://schemas.openxmlformats.org/officeDocument/2006/relationships/hyperlink" Target="https://www.justiz.nrw.de/nrwe/fgs/duesseldorf/j2021/4_K_741_20_Erb_Urteil_20210310.html" TargetMode="External"/><Relationship Id="rId24" Type="http://schemas.openxmlformats.org/officeDocument/2006/relationships/hyperlink" Target="http://www.fg-duesseldorf.nrw.de/behoerde/presse/newsletter/index.php" TargetMode="External"/><Relationship Id="rId5" Type="http://schemas.openxmlformats.org/officeDocument/2006/relationships/hyperlink" Target="http://www.fg-duesseldorf.nrw.de/" TargetMode="External"/><Relationship Id="rId15" Type="http://schemas.openxmlformats.org/officeDocument/2006/relationships/hyperlink" Target="https://www.justiz.nrw.de/nrwe/fgs/duesseldorf/j2016/5_K_4189_13_U_Urteil_20160718.html" TargetMode="External"/><Relationship Id="rId23" Type="http://schemas.openxmlformats.org/officeDocument/2006/relationships/hyperlink" Target="http://www.fg-duesseldorf.nrw.de/behoerde/presse/newsletter/index.php" TargetMode="External"/><Relationship Id="rId28" Type="http://schemas.openxmlformats.org/officeDocument/2006/relationships/hyperlink" Target="mailto:michael.krebbers@fg-duesseldorf.nrw.de" TargetMode="External"/><Relationship Id="rId10" Type="http://schemas.openxmlformats.org/officeDocument/2006/relationships/hyperlink" Target="https://www.justiz.nrw.de/nrwe/fgs/duesseldorf/j2022/4_K_2280_20_VE_Urteil_20220309.html" TargetMode="External"/><Relationship Id="rId19" Type="http://schemas.openxmlformats.org/officeDocument/2006/relationships/hyperlink" Target="https://www.fg-duesseldorf.nrw.de/behoerde/ausbildung_stellenausschreibungen/index.php" TargetMode="External"/><Relationship Id="rId4" Type="http://schemas.openxmlformats.org/officeDocument/2006/relationships/image" Target="media/image1.jpeg"/><Relationship Id="rId9" Type="http://schemas.openxmlformats.org/officeDocument/2006/relationships/hyperlink" Target="https://www.justiz.nrw.de/nrwe/fgs/duesseldorf/j2022/4_K_2278_20_VE_Urteil_20220309.html" TargetMode="External"/><Relationship Id="rId14" Type="http://schemas.openxmlformats.org/officeDocument/2006/relationships/hyperlink" Target="https://www.justiz.nrw.de/nrwe/fgs/duesseldorf/j2022/4_K_2661_21_VTa_Beschluss_20220429.html" TargetMode="External"/><Relationship Id="rId22" Type="http://schemas.openxmlformats.org/officeDocument/2006/relationships/hyperlink" Target="http://www.nrwe.de/" TargetMode="External"/><Relationship Id="rId27" Type="http://schemas.openxmlformats.org/officeDocument/2006/relationships/hyperlink" Target="mailto:ben.doernhaus@fg-duesseldorf.nrw.d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1500</Words>
  <Characters>12345</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
    </vt:vector>
  </TitlesOfParts>
  <Company>VGFG</Company>
  <LinksUpToDate>false</LinksUpToDate>
  <CharactersWithSpaces>13818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Heister, Anja</dc:creator>
  <cp:keywords/>
  <dc:description/>
  <cp:lastModifiedBy>Heister, Anja</cp:lastModifiedBy>
  <cp:revision>1</cp:revision>
  <cp:lastPrinted>2022-07-14T08:07:00Z</cp:lastPrinted>
  <dcterms:created xsi:type="dcterms:W3CDTF">2022-07-14T08:01:00Z</dcterms:created>
  <dcterms:modified xsi:type="dcterms:W3CDTF">2022-07-14T08:08:00Z</dcterms:modified>
</cp:coreProperties>
</file>